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60632" w:rsidR="00E60632" w:rsidP="00E60632" w:rsidRDefault="00E60632" w14:paraId="6C880C0A" w14:textId="77777777">
      <w:pPr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E60632">
        <w:rPr>
          <w:rFonts w:ascii="Times New Roman" w:hAnsi="Times New Roman" w:cs="Times New Roman"/>
          <w:b/>
          <w:sz w:val="28"/>
        </w:rPr>
        <w:t>Researcher Biography</w:t>
      </w:r>
    </w:p>
    <w:p w:rsidRPr="00E60632" w:rsidR="00E60632" w:rsidP="00E60632" w:rsidRDefault="00E60632" w14:paraId="3A42BCAA" w14:textId="6B30FA52">
      <w:pPr>
        <w:spacing w:after="120" w:line="360" w:lineRule="auto"/>
        <w:rPr>
          <w:rFonts w:ascii="Times New Roman" w:hAnsi="Times New Roman" w:cs="Times New Roman"/>
          <w:i/>
          <w:sz w:val="24"/>
        </w:rPr>
      </w:pPr>
      <w:r w:rsidRPr="00E60632">
        <w:rPr>
          <w:rFonts w:ascii="Times New Roman" w:hAnsi="Times New Roman" w:cs="Times New Roman"/>
          <w:i/>
          <w:sz w:val="24"/>
        </w:rPr>
        <w:t>Name:</w:t>
      </w:r>
      <w:r w:rsidR="00CD7FF3">
        <w:rPr>
          <w:rFonts w:ascii="Times New Roman" w:hAnsi="Times New Roman" w:cs="Times New Roman"/>
          <w:i/>
          <w:sz w:val="24"/>
        </w:rPr>
        <w:t xml:space="preserve"> </w:t>
      </w:r>
      <w:r w:rsidRPr="00CD7FF3" w:rsidR="00CD7FF3">
        <w:rPr>
          <w:rFonts w:ascii="Times New Roman" w:hAnsi="Times New Roman" w:cs="Times New Roman"/>
          <w:iCs/>
          <w:sz w:val="24"/>
        </w:rPr>
        <w:t>Joanne Bolton</w:t>
      </w:r>
    </w:p>
    <w:p w:rsidRPr="00E60632" w:rsidR="00E60632" w:rsidP="00E60632" w:rsidRDefault="00E60632" w14:paraId="2D4CA84A" w14:textId="2FB588D2">
      <w:pPr>
        <w:spacing w:after="120" w:line="360" w:lineRule="auto"/>
        <w:rPr>
          <w:rFonts w:ascii="Times New Roman" w:hAnsi="Times New Roman" w:cs="Times New Roman"/>
          <w:i/>
          <w:sz w:val="24"/>
        </w:rPr>
      </w:pPr>
      <w:r w:rsidRPr="00E60632">
        <w:rPr>
          <w:rFonts w:ascii="Times New Roman" w:hAnsi="Times New Roman" w:cs="Times New Roman"/>
          <w:i/>
          <w:sz w:val="24"/>
        </w:rPr>
        <w:t>Role:</w:t>
      </w:r>
      <w:r w:rsidR="00CD7FF3">
        <w:rPr>
          <w:rFonts w:ascii="Times New Roman" w:hAnsi="Times New Roman" w:cs="Times New Roman"/>
          <w:i/>
          <w:sz w:val="24"/>
        </w:rPr>
        <w:t xml:space="preserve"> </w:t>
      </w:r>
      <w:r w:rsidRPr="00CD7FF3" w:rsidR="00CD7FF3">
        <w:rPr>
          <w:rFonts w:ascii="Times New Roman" w:hAnsi="Times New Roman" w:cs="Times New Roman"/>
          <w:iCs/>
          <w:sz w:val="24"/>
        </w:rPr>
        <w:t>Interprofessional Education and Practice Development Fellow</w:t>
      </w:r>
    </w:p>
    <w:p w:rsidRPr="00E60632" w:rsidR="00E60632" w:rsidP="00E60632" w:rsidRDefault="00E60632" w14:paraId="70E0F340" w14:textId="326DECD6">
      <w:pPr>
        <w:spacing w:after="120" w:line="360" w:lineRule="auto"/>
        <w:rPr>
          <w:rFonts w:ascii="Times New Roman" w:hAnsi="Times New Roman" w:cs="Times New Roman"/>
          <w:i/>
          <w:sz w:val="24"/>
        </w:rPr>
      </w:pPr>
      <w:r w:rsidRPr="2B6E9E7C" w:rsidR="00E60632">
        <w:rPr>
          <w:rFonts w:ascii="Times New Roman" w:hAnsi="Times New Roman" w:cs="Times New Roman"/>
          <w:i w:val="1"/>
          <w:iCs w:val="1"/>
          <w:sz w:val="24"/>
          <w:szCs w:val="24"/>
        </w:rPr>
        <w:t>Institutional affiliation:</w:t>
      </w:r>
      <w:r w:rsidRPr="2B6E9E7C" w:rsidR="00CD7FF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2B6E9E7C" w:rsidR="00CD7FF3">
        <w:rPr>
          <w:rFonts w:ascii="Times New Roman" w:hAnsi="Times New Roman" w:cs="Times New Roman"/>
          <w:sz w:val="24"/>
          <w:szCs w:val="24"/>
        </w:rPr>
        <w:t>University of Melbourne</w:t>
      </w:r>
      <w:r w:rsidRPr="2B6E9E7C" w:rsidR="00CD7FF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</w:p>
    <w:p w:rsidR="00CD7FF3" w:rsidP="00E60632" w:rsidRDefault="00C75D20" w14:paraId="7714E57D" w14:textId="41BEB1C1">
      <w:pPr>
        <w:spacing w:after="120" w:line="360" w:lineRule="auto"/>
        <w:rPr>
          <w:rFonts w:ascii="Times New Roman" w:hAnsi="Times New Roman" w:cs="Times New Roman"/>
          <w:iCs/>
          <w:sz w:val="24"/>
        </w:rPr>
      </w:pPr>
      <w:r w:rsidRPr="2B6E9E7C" w:rsidR="00C75D20">
        <w:rPr>
          <w:rFonts w:ascii="Times New Roman" w:hAnsi="Times New Roman" w:cs="Times New Roman"/>
          <w:sz w:val="24"/>
          <w:szCs w:val="24"/>
        </w:rPr>
        <w:t>I</w:t>
      </w:r>
      <w:r w:rsidRPr="2B6E9E7C" w:rsidR="00CD7FF3">
        <w:rPr>
          <w:rFonts w:ascii="Times New Roman" w:hAnsi="Times New Roman" w:cs="Times New Roman"/>
          <w:sz w:val="24"/>
          <w:szCs w:val="24"/>
        </w:rPr>
        <w:t xml:space="preserve"> </w:t>
      </w:r>
      <w:r w:rsidRPr="2B6E9E7C" w:rsidR="00EF4F2E">
        <w:rPr>
          <w:rFonts w:ascii="Times New Roman" w:hAnsi="Times New Roman" w:cs="Times New Roman"/>
          <w:sz w:val="24"/>
          <w:szCs w:val="24"/>
        </w:rPr>
        <w:t>would like to acknowledge the Wurundjeri people as the traditional custodians of the lands on which I live, work, study and learn, and I pay my respect</w:t>
      </w:r>
      <w:r w:rsidRPr="2B6E9E7C" w:rsidR="00AF74E7">
        <w:rPr>
          <w:rFonts w:ascii="Times New Roman" w:hAnsi="Times New Roman" w:cs="Times New Roman"/>
          <w:sz w:val="24"/>
          <w:szCs w:val="24"/>
        </w:rPr>
        <w:t>s</w:t>
      </w:r>
      <w:r w:rsidRPr="2B6E9E7C" w:rsidR="00EF4F2E">
        <w:rPr>
          <w:rFonts w:ascii="Times New Roman" w:hAnsi="Times New Roman" w:cs="Times New Roman"/>
          <w:sz w:val="24"/>
          <w:szCs w:val="24"/>
        </w:rPr>
        <w:t xml:space="preserve"> to all Elder</w:t>
      </w:r>
      <w:r w:rsidRPr="2B6E9E7C" w:rsidR="00AF74E7">
        <w:rPr>
          <w:rFonts w:ascii="Times New Roman" w:hAnsi="Times New Roman" w:cs="Times New Roman"/>
          <w:sz w:val="24"/>
          <w:szCs w:val="24"/>
        </w:rPr>
        <w:t>s</w:t>
      </w:r>
      <w:r w:rsidRPr="2B6E9E7C" w:rsidR="00EF4F2E">
        <w:rPr>
          <w:rFonts w:ascii="Times New Roman" w:hAnsi="Times New Roman" w:cs="Times New Roman"/>
          <w:sz w:val="24"/>
          <w:szCs w:val="24"/>
        </w:rPr>
        <w:t xml:space="preserve"> past, present and emerging.  </w:t>
      </w:r>
      <w:r w:rsidRPr="2B6E9E7C" w:rsidR="007D11DB">
        <w:rPr>
          <w:rFonts w:ascii="Times New Roman" w:hAnsi="Times New Roman" w:cs="Times New Roman"/>
          <w:sz w:val="24"/>
          <w:szCs w:val="24"/>
        </w:rPr>
        <w:t xml:space="preserve">I am motivated by a vision of both national and global health equity and moved into health professions education from a clinical background in physiotherapy 7 years ago. </w:t>
      </w:r>
      <w:r w:rsidRPr="2B6E9E7C" w:rsidR="009C5559">
        <w:rPr>
          <w:rFonts w:ascii="Times New Roman" w:hAnsi="Times New Roman" w:cs="Times New Roman"/>
          <w:sz w:val="24"/>
          <w:szCs w:val="24"/>
        </w:rPr>
        <w:t xml:space="preserve"> </w:t>
      </w:r>
      <w:r w:rsidRPr="2B6E9E7C" w:rsidR="007D11DB">
        <w:rPr>
          <w:rFonts w:ascii="Times New Roman" w:hAnsi="Times New Roman" w:cs="Times New Roman"/>
          <w:sz w:val="24"/>
          <w:szCs w:val="24"/>
        </w:rPr>
        <w:t>I see education as</w:t>
      </w:r>
      <w:r w:rsidRPr="2B6E9E7C" w:rsidR="00CD7FF3">
        <w:rPr>
          <w:rFonts w:ascii="Times New Roman" w:hAnsi="Times New Roman" w:cs="Times New Roman"/>
          <w:sz w:val="24"/>
          <w:szCs w:val="24"/>
        </w:rPr>
        <w:t xml:space="preserve"> an upstream way of being </w:t>
      </w:r>
      <w:r w:rsidRPr="2B6E9E7C" w:rsidR="00C75D20">
        <w:rPr>
          <w:rFonts w:ascii="Times New Roman" w:hAnsi="Times New Roman" w:cs="Times New Roman"/>
          <w:sz w:val="24"/>
          <w:szCs w:val="24"/>
        </w:rPr>
        <w:t xml:space="preserve">involved with the training of the future healthcare workforce </w:t>
      </w:r>
      <w:r w:rsidRPr="2B6E9E7C" w:rsidR="007D11DB">
        <w:rPr>
          <w:rFonts w:ascii="Times New Roman" w:hAnsi="Times New Roman" w:cs="Times New Roman"/>
          <w:sz w:val="24"/>
          <w:szCs w:val="24"/>
        </w:rPr>
        <w:t xml:space="preserve">and I would like to contribute to facilitating </w:t>
      </w:r>
      <w:r w:rsidRPr="2B6E9E7C" w:rsidR="00CD7FF3">
        <w:rPr>
          <w:rFonts w:ascii="Times New Roman" w:hAnsi="Times New Roman" w:cs="Times New Roman"/>
          <w:sz w:val="24"/>
          <w:szCs w:val="24"/>
        </w:rPr>
        <w:t>changes in the way in which healthcare is</w:t>
      </w:r>
      <w:r w:rsidRPr="2B6E9E7C" w:rsidR="00CD7FF3">
        <w:rPr>
          <w:rFonts w:ascii="Times New Roman" w:hAnsi="Times New Roman" w:cs="Times New Roman"/>
          <w:sz w:val="24"/>
          <w:szCs w:val="24"/>
        </w:rPr>
        <w:t xml:space="preserve"> position</w:t>
      </w:r>
      <w:r w:rsidRPr="2B6E9E7C" w:rsidR="00CD7FF3">
        <w:rPr>
          <w:rFonts w:ascii="Times New Roman" w:hAnsi="Times New Roman" w:cs="Times New Roman"/>
          <w:sz w:val="24"/>
          <w:szCs w:val="24"/>
        </w:rPr>
        <w:t>ed</w:t>
      </w:r>
      <w:r w:rsidRPr="2B6E9E7C" w:rsidR="00CD7FF3">
        <w:rPr>
          <w:rFonts w:ascii="Times New Roman" w:hAnsi="Times New Roman" w:cs="Times New Roman"/>
          <w:sz w:val="24"/>
          <w:szCs w:val="24"/>
        </w:rPr>
        <w:t xml:space="preserve">, </w:t>
      </w:r>
      <w:r w:rsidRPr="2B6E9E7C" w:rsidR="002A0E0A">
        <w:rPr>
          <w:rFonts w:ascii="Times New Roman" w:hAnsi="Times New Roman" w:cs="Times New Roman"/>
          <w:sz w:val="24"/>
          <w:szCs w:val="24"/>
        </w:rPr>
        <w:t>prioritis</w:t>
      </w:r>
      <w:r w:rsidRPr="2B6E9E7C" w:rsidR="002A0E0A">
        <w:rPr>
          <w:rFonts w:ascii="Times New Roman" w:hAnsi="Times New Roman" w:cs="Times New Roman"/>
          <w:sz w:val="24"/>
          <w:szCs w:val="24"/>
        </w:rPr>
        <w:t>ed</w:t>
      </w:r>
      <w:r w:rsidRPr="2B6E9E7C" w:rsidR="00CD7FF3">
        <w:rPr>
          <w:rFonts w:ascii="Times New Roman" w:hAnsi="Times New Roman" w:cs="Times New Roman"/>
          <w:sz w:val="24"/>
          <w:szCs w:val="24"/>
        </w:rPr>
        <w:t xml:space="preserve"> and practice</w:t>
      </w:r>
      <w:r w:rsidRPr="2B6E9E7C" w:rsidR="00CD7FF3">
        <w:rPr>
          <w:rFonts w:ascii="Times New Roman" w:hAnsi="Times New Roman" w:cs="Times New Roman"/>
          <w:sz w:val="24"/>
          <w:szCs w:val="24"/>
        </w:rPr>
        <w:t>d</w:t>
      </w:r>
      <w:r w:rsidRPr="2B6E9E7C" w:rsidR="00C75D20">
        <w:rPr>
          <w:rFonts w:ascii="Times New Roman" w:hAnsi="Times New Roman" w:cs="Times New Roman"/>
          <w:sz w:val="24"/>
          <w:szCs w:val="24"/>
        </w:rPr>
        <w:t xml:space="preserve">.  I am interested in exploring </w:t>
      </w:r>
      <w:r w:rsidRPr="2B6E9E7C" w:rsidR="00023737">
        <w:rPr>
          <w:rFonts w:ascii="Times New Roman" w:hAnsi="Times New Roman" w:cs="Times New Roman"/>
          <w:sz w:val="24"/>
          <w:szCs w:val="24"/>
        </w:rPr>
        <w:t xml:space="preserve">curriculum design </w:t>
      </w:r>
      <w:r w:rsidRPr="2B6E9E7C" w:rsidR="00C75D20">
        <w:rPr>
          <w:rFonts w:ascii="Times New Roman" w:hAnsi="Times New Roman" w:cs="Times New Roman"/>
          <w:sz w:val="24"/>
          <w:szCs w:val="24"/>
        </w:rPr>
        <w:t xml:space="preserve">that actively seeks to prioritise </w:t>
      </w:r>
      <w:r w:rsidRPr="2B6E9E7C" w:rsidR="00CD7FF3">
        <w:rPr>
          <w:rFonts w:ascii="Times New Roman" w:hAnsi="Times New Roman" w:cs="Times New Roman"/>
          <w:sz w:val="24"/>
          <w:szCs w:val="24"/>
        </w:rPr>
        <w:t xml:space="preserve">the essential humanistic domains of </w:t>
      </w:r>
      <w:r w:rsidRPr="2B6E9E7C" w:rsidR="0088328A">
        <w:rPr>
          <w:rFonts w:ascii="Times New Roman" w:hAnsi="Times New Roman" w:cs="Times New Roman"/>
          <w:sz w:val="24"/>
          <w:szCs w:val="24"/>
        </w:rPr>
        <w:t xml:space="preserve">culturally safe and </w:t>
      </w:r>
      <w:r w:rsidRPr="2B6E9E7C" w:rsidR="00B27DD5">
        <w:rPr>
          <w:rFonts w:ascii="Times New Roman" w:hAnsi="Times New Roman" w:cs="Times New Roman"/>
          <w:sz w:val="24"/>
          <w:szCs w:val="24"/>
        </w:rPr>
        <w:t xml:space="preserve">collaborative </w:t>
      </w:r>
      <w:r w:rsidRPr="2B6E9E7C" w:rsidR="0088328A">
        <w:rPr>
          <w:rFonts w:ascii="Times New Roman" w:hAnsi="Times New Roman" w:cs="Times New Roman"/>
          <w:sz w:val="24"/>
          <w:szCs w:val="24"/>
        </w:rPr>
        <w:t>person-</w:t>
      </w:r>
      <w:r w:rsidRPr="2B6E9E7C" w:rsidR="002A0E0A">
        <w:rPr>
          <w:rFonts w:ascii="Times New Roman" w:hAnsi="Times New Roman" w:cs="Times New Roman"/>
          <w:sz w:val="24"/>
          <w:szCs w:val="24"/>
        </w:rPr>
        <w:t>centred</w:t>
      </w:r>
      <w:r w:rsidRPr="2B6E9E7C" w:rsidR="0088328A">
        <w:rPr>
          <w:rFonts w:ascii="Times New Roman" w:hAnsi="Times New Roman" w:cs="Times New Roman"/>
          <w:sz w:val="24"/>
          <w:szCs w:val="24"/>
        </w:rPr>
        <w:t xml:space="preserve"> </w:t>
      </w:r>
      <w:r w:rsidRPr="2B6E9E7C" w:rsidR="00CD7FF3">
        <w:rPr>
          <w:rFonts w:ascii="Times New Roman" w:hAnsi="Times New Roman" w:cs="Times New Roman"/>
          <w:sz w:val="24"/>
          <w:szCs w:val="24"/>
        </w:rPr>
        <w:t>healthcare delivery</w:t>
      </w:r>
      <w:r w:rsidRPr="2B6E9E7C" w:rsidR="00023737">
        <w:rPr>
          <w:rFonts w:ascii="Times New Roman" w:hAnsi="Times New Roman" w:cs="Times New Roman"/>
          <w:sz w:val="24"/>
          <w:szCs w:val="24"/>
        </w:rPr>
        <w:t>.</w:t>
      </w:r>
    </w:p>
    <w:p w:rsidRPr="00E60632" w:rsidR="00786AB1" w:rsidP="00E60632" w:rsidRDefault="00B27DD5" w14:paraId="7201851C" w14:textId="4D9CE94C">
      <w:pPr>
        <w:spacing w:after="120" w:line="360" w:lineRule="auto"/>
        <w:rPr>
          <w:rFonts w:ascii="Times New Roman" w:hAnsi="Times New Roman" w:cs="Times New Roman"/>
          <w:i/>
          <w:sz w:val="24"/>
        </w:rPr>
      </w:pPr>
      <w:r w:rsidR="00B27DD5">
        <w:drawing>
          <wp:inline wp14:editId="2B6E9E7C" wp14:anchorId="7DF4C285">
            <wp:extent cx="1888894" cy="1929284"/>
            <wp:effectExtent l="0" t="0" r="3810" b="1270"/>
            <wp:docPr id="3" name="Picture 3" descr="A person posing for the camera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b01b56b56197434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88894" cy="19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32" w:rsidP="00E60632" w:rsidRDefault="00E60632" w14:paraId="089DA049" w14:textId="338A771C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B27DD5" w:rsidP="00E60632" w:rsidRDefault="00B27DD5" w14:paraId="62082A03" w14:textId="77777777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786AB1" w:rsidP="00E60632" w:rsidRDefault="00786AB1" w14:paraId="5306E09B" w14:textId="77777777">
      <w:pPr>
        <w:spacing w:after="120" w:line="360" w:lineRule="auto"/>
        <w:rPr>
          <w:rFonts w:ascii="Times New Roman" w:hAnsi="Times New Roman" w:cs="Times New Roman"/>
          <w:b/>
          <w:sz w:val="28"/>
        </w:rPr>
      </w:pPr>
    </w:p>
    <w:p w:rsidRPr="00E60632" w:rsidR="00E60632" w:rsidP="00E60632" w:rsidRDefault="00E60632" w14:paraId="221AD827" w14:textId="58EE8F93">
      <w:pPr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E60632">
        <w:rPr>
          <w:rFonts w:ascii="Times New Roman" w:hAnsi="Times New Roman" w:cs="Times New Roman"/>
          <w:b/>
          <w:sz w:val="28"/>
        </w:rPr>
        <w:lastRenderedPageBreak/>
        <w:t>Project Summary</w:t>
      </w:r>
    </w:p>
    <w:p w:rsidRPr="00CD7FF3" w:rsidR="00E60632" w:rsidP="00E60632" w:rsidRDefault="00E60632" w14:paraId="7AE31C84" w14:textId="4975AC52">
      <w:pPr>
        <w:spacing w:after="120" w:line="360" w:lineRule="auto"/>
        <w:rPr>
          <w:rFonts w:ascii="Times New Roman" w:hAnsi="Times New Roman" w:cs="Times New Roman"/>
          <w:iCs/>
          <w:sz w:val="24"/>
        </w:rPr>
      </w:pPr>
      <w:r w:rsidRPr="00E60632">
        <w:rPr>
          <w:rFonts w:ascii="Times New Roman" w:hAnsi="Times New Roman" w:cs="Times New Roman"/>
          <w:i/>
          <w:sz w:val="24"/>
        </w:rPr>
        <w:t>Title;</w:t>
      </w:r>
      <w:r w:rsidR="00CD7FF3">
        <w:rPr>
          <w:rFonts w:ascii="Times New Roman" w:hAnsi="Times New Roman" w:cs="Times New Roman"/>
          <w:i/>
          <w:sz w:val="24"/>
        </w:rPr>
        <w:t xml:space="preserve"> </w:t>
      </w:r>
      <w:r w:rsidRPr="00CD7FF3" w:rsidR="00CD7FF3">
        <w:rPr>
          <w:rFonts w:ascii="Times New Roman" w:hAnsi="Times New Roman" w:cs="Times New Roman"/>
          <w:iCs/>
          <w:sz w:val="24"/>
        </w:rPr>
        <w:t>Ways of Knowing in healthcare- an interprofessional immersive approach</w:t>
      </w:r>
      <w:r w:rsidR="00CD7FF3">
        <w:rPr>
          <w:rFonts w:ascii="Times New Roman" w:hAnsi="Times New Roman" w:cs="Times New Roman"/>
          <w:i/>
          <w:sz w:val="24"/>
        </w:rPr>
        <w:t xml:space="preserve"> </w:t>
      </w:r>
    </w:p>
    <w:p w:rsidR="00E60632" w:rsidP="00E60632" w:rsidRDefault="00E60632" w14:paraId="75C9F7AD" w14:textId="17AEE646">
      <w:pPr>
        <w:spacing w:after="120" w:line="360" w:lineRule="auto"/>
        <w:rPr>
          <w:rFonts w:ascii="Times New Roman" w:hAnsi="Times New Roman" w:cs="Times New Roman"/>
          <w:iCs/>
          <w:sz w:val="24"/>
        </w:rPr>
      </w:pPr>
      <w:r w:rsidRPr="00E60632">
        <w:rPr>
          <w:rFonts w:ascii="Times New Roman" w:hAnsi="Times New Roman" w:cs="Times New Roman"/>
          <w:i/>
          <w:sz w:val="24"/>
        </w:rPr>
        <w:t>Names of the research team:</w:t>
      </w:r>
      <w:r w:rsidR="00CD7FF3">
        <w:rPr>
          <w:rFonts w:ascii="Times New Roman" w:hAnsi="Times New Roman" w:cs="Times New Roman"/>
          <w:i/>
          <w:sz w:val="24"/>
        </w:rPr>
        <w:t xml:space="preserve"> </w:t>
      </w:r>
      <w:r w:rsidR="00CD7FF3">
        <w:rPr>
          <w:rFonts w:ascii="Times New Roman" w:hAnsi="Times New Roman" w:cs="Times New Roman"/>
          <w:iCs/>
          <w:sz w:val="24"/>
        </w:rPr>
        <w:t>Ms Joanne Bolton, Dr Sarah Meiklejohn, Dr Ngaree Blow, Dr Karen Donald, Professor Elizabeth Molloy, Dr Kate Reid</w:t>
      </w:r>
    </w:p>
    <w:p w:rsidRPr="00A17087" w:rsidR="00A17087" w:rsidP="00E60632" w:rsidRDefault="00580CC6" w14:paraId="5B09F68D" w14:textId="2BC4C0DB">
      <w:pPr>
        <w:spacing w:after="120" w:line="36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</w:t>
      </w:r>
      <w:r w:rsidRPr="00A17087" w:rsidR="00A17087">
        <w:rPr>
          <w:rFonts w:ascii="Times New Roman" w:hAnsi="Times New Roman" w:cs="Times New Roman"/>
          <w:iCs/>
          <w:sz w:val="24"/>
        </w:rPr>
        <w:t xml:space="preserve">urriculum Planning Team: Associate Professor Louisa Remedios, Associate Professor Anthea Cochrance, </w:t>
      </w:r>
      <w:r>
        <w:rPr>
          <w:rFonts w:ascii="Times New Roman" w:hAnsi="Times New Roman" w:cs="Times New Roman"/>
          <w:iCs/>
          <w:sz w:val="24"/>
        </w:rPr>
        <w:t xml:space="preserve">Dr Zerina Tomkins, </w:t>
      </w:r>
      <w:r w:rsidRPr="00A17087" w:rsidR="00A17087">
        <w:rPr>
          <w:rFonts w:ascii="Times New Roman" w:hAnsi="Times New Roman" w:cs="Times New Roman"/>
          <w:iCs/>
          <w:sz w:val="24"/>
        </w:rPr>
        <w:t xml:space="preserve">Mr Josh Cubillo, </w:t>
      </w:r>
      <w:r w:rsidRPr="00A17087">
        <w:rPr>
          <w:rFonts w:ascii="Times New Roman" w:hAnsi="Times New Roman" w:cs="Times New Roman"/>
          <w:iCs/>
          <w:sz w:val="24"/>
        </w:rPr>
        <w:t xml:space="preserve">Dr Cindy Ahern, </w:t>
      </w:r>
      <w:r w:rsidR="00A17087">
        <w:rPr>
          <w:rFonts w:ascii="Times New Roman" w:hAnsi="Times New Roman" w:cs="Times New Roman"/>
          <w:iCs/>
          <w:sz w:val="24"/>
        </w:rPr>
        <w:t>Ms Tamara Clements</w:t>
      </w:r>
    </w:p>
    <w:p w:rsidRPr="00CD7FF3" w:rsidR="00E60632" w:rsidP="00E60632" w:rsidRDefault="00E60632" w14:paraId="602F8E46" w14:textId="7F221F75">
      <w:pPr>
        <w:spacing w:after="120" w:line="360" w:lineRule="auto"/>
        <w:rPr>
          <w:rFonts w:ascii="Times New Roman" w:hAnsi="Times New Roman" w:cs="Times New Roman"/>
          <w:iCs/>
          <w:sz w:val="24"/>
        </w:rPr>
      </w:pPr>
      <w:r w:rsidRPr="00E60632">
        <w:rPr>
          <w:rFonts w:ascii="Times New Roman" w:hAnsi="Times New Roman" w:cs="Times New Roman"/>
          <w:i/>
          <w:sz w:val="24"/>
        </w:rPr>
        <w:t>Institutional affiliations:</w:t>
      </w:r>
      <w:r w:rsidR="00CD7FF3">
        <w:rPr>
          <w:rFonts w:ascii="Times New Roman" w:hAnsi="Times New Roman" w:cs="Times New Roman"/>
          <w:i/>
          <w:sz w:val="24"/>
        </w:rPr>
        <w:t xml:space="preserve"> </w:t>
      </w:r>
      <w:r w:rsidR="00CD7FF3">
        <w:rPr>
          <w:rFonts w:ascii="Times New Roman" w:hAnsi="Times New Roman" w:cs="Times New Roman"/>
          <w:iCs/>
          <w:sz w:val="24"/>
        </w:rPr>
        <w:t>University of Melbourne</w:t>
      </w:r>
    </w:p>
    <w:p w:rsidRPr="00CD7FF3" w:rsidR="00E60632" w:rsidP="00E60632" w:rsidRDefault="00E60632" w14:paraId="1B71F8F6" w14:textId="71DEF591">
      <w:pPr>
        <w:spacing w:after="120" w:line="360" w:lineRule="auto"/>
        <w:rPr>
          <w:rFonts w:ascii="Times New Roman" w:hAnsi="Times New Roman" w:cs="Times New Roman"/>
          <w:iCs/>
          <w:sz w:val="24"/>
        </w:rPr>
      </w:pPr>
      <w:r w:rsidRPr="2B6E9E7C" w:rsidR="00E60632">
        <w:rPr>
          <w:rFonts w:ascii="Times New Roman" w:hAnsi="Times New Roman" w:cs="Times New Roman"/>
          <w:i w:val="1"/>
          <w:iCs w:val="1"/>
          <w:sz w:val="24"/>
          <w:szCs w:val="24"/>
        </w:rPr>
        <w:t>Contact details of the corresponding author:</w:t>
      </w:r>
      <w:r w:rsidRPr="2B6E9E7C" w:rsidR="00CD7FF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2B6E9E7C" w:rsidR="00CD7FF3">
        <w:rPr>
          <w:rFonts w:ascii="Times New Roman" w:hAnsi="Times New Roman" w:cs="Times New Roman"/>
          <w:sz w:val="24"/>
          <w:szCs w:val="24"/>
        </w:rPr>
        <w:t>joanne.bolton@unimelb.edu.au</w:t>
      </w:r>
    </w:p>
    <w:p w:rsidRPr="00E60632" w:rsidR="00B27DD5" w:rsidP="00E60632" w:rsidRDefault="00B27DD5" w14:paraId="18240AE8" w14:textId="5981BB6B">
      <w:pPr>
        <w:spacing w:after="120" w:line="360" w:lineRule="auto"/>
        <w:rPr>
          <w:rFonts w:ascii="Times New Roman" w:hAnsi="Times New Roman" w:cs="Times New Roman"/>
          <w:i/>
          <w:sz w:val="24"/>
        </w:rPr>
      </w:pPr>
      <w:r w:rsidR="00B27DD5">
        <w:drawing>
          <wp:inline wp14:editId="743F243D" wp14:anchorId="60FFCF50">
            <wp:extent cx="4413823" cy="2603500"/>
            <wp:effectExtent l="0" t="0" r="6350" b="0"/>
            <wp:docPr id="2" name="Picture 2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ded2773eff64b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13823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32" w:rsidP="00E60632" w:rsidRDefault="00E60632" w14:paraId="10D74FFF" w14:textId="713A8FAE">
      <w:pPr>
        <w:spacing w:after="120" w:line="360" w:lineRule="auto"/>
        <w:rPr>
          <w:rFonts w:ascii="Times New Roman" w:hAnsi="Times New Roman" w:cs="Times New Roman"/>
          <w:i/>
          <w:sz w:val="24"/>
        </w:rPr>
      </w:pPr>
      <w:r w:rsidRPr="00E60632">
        <w:rPr>
          <w:rFonts w:ascii="Times New Roman" w:hAnsi="Times New Roman" w:cs="Times New Roman"/>
          <w:i/>
          <w:sz w:val="24"/>
        </w:rPr>
        <w:t>Take home messages:</w:t>
      </w:r>
    </w:p>
    <w:p w:rsidRPr="00475C30" w:rsidR="00CD7FF3" w:rsidP="00EF4F2E" w:rsidRDefault="00440483" w14:paraId="682FE855" w14:textId="0E7D9404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Cs/>
          <w:sz w:val="24"/>
        </w:rPr>
        <w:t>Interprofessional curricul</w:t>
      </w:r>
      <w:r w:rsidR="0088328A">
        <w:rPr>
          <w:rFonts w:ascii="Times New Roman" w:hAnsi="Times New Roman" w:cs="Times New Roman"/>
          <w:iCs/>
          <w:sz w:val="24"/>
        </w:rPr>
        <w:t>a</w:t>
      </w:r>
      <w:r>
        <w:rPr>
          <w:rFonts w:ascii="Times New Roman" w:hAnsi="Times New Roman" w:cs="Times New Roman"/>
          <w:iCs/>
          <w:sz w:val="24"/>
        </w:rPr>
        <w:t xml:space="preserve"> that explore</w:t>
      </w:r>
      <w:r w:rsidR="0088328A">
        <w:rPr>
          <w:rFonts w:ascii="Times New Roman" w:hAnsi="Times New Roman" w:cs="Times New Roman"/>
          <w:iCs/>
          <w:sz w:val="24"/>
        </w:rPr>
        <w:t>s</w:t>
      </w:r>
      <w:r>
        <w:rPr>
          <w:rFonts w:ascii="Times New Roman" w:hAnsi="Times New Roman" w:cs="Times New Roman"/>
          <w:iCs/>
          <w:sz w:val="24"/>
        </w:rPr>
        <w:t xml:space="preserve"> First Nations health </w:t>
      </w:r>
      <w:r w:rsidR="005B31EE">
        <w:rPr>
          <w:rFonts w:ascii="Times New Roman" w:hAnsi="Times New Roman" w:cs="Times New Roman"/>
          <w:iCs/>
          <w:sz w:val="24"/>
        </w:rPr>
        <w:t xml:space="preserve">and collaborative practice </w:t>
      </w:r>
      <w:r>
        <w:rPr>
          <w:rFonts w:ascii="Times New Roman" w:hAnsi="Times New Roman" w:cs="Times New Roman"/>
          <w:iCs/>
          <w:sz w:val="24"/>
        </w:rPr>
        <w:t>provides</w:t>
      </w:r>
      <w:r w:rsidR="00FE6402">
        <w:rPr>
          <w:rFonts w:ascii="Times New Roman" w:hAnsi="Times New Roman" w:cs="Times New Roman"/>
          <w:iCs/>
          <w:sz w:val="24"/>
        </w:rPr>
        <w:t xml:space="preserve"> a platform </w:t>
      </w:r>
      <w:r>
        <w:rPr>
          <w:rFonts w:ascii="Times New Roman" w:hAnsi="Times New Roman" w:cs="Times New Roman"/>
          <w:iCs/>
          <w:sz w:val="24"/>
        </w:rPr>
        <w:t xml:space="preserve">to explore the </w:t>
      </w:r>
      <w:r w:rsidR="00841C01">
        <w:rPr>
          <w:rFonts w:ascii="Times New Roman" w:hAnsi="Times New Roman" w:cs="Times New Roman"/>
          <w:iCs/>
          <w:sz w:val="24"/>
        </w:rPr>
        <w:t xml:space="preserve">authentic </w:t>
      </w:r>
      <w:r>
        <w:rPr>
          <w:rFonts w:ascii="Times New Roman" w:hAnsi="Times New Roman" w:cs="Times New Roman"/>
          <w:iCs/>
          <w:sz w:val="24"/>
        </w:rPr>
        <w:t xml:space="preserve">development of </w:t>
      </w:r>
      <w:r w:rsidR="0088328A">
        <w:rPr>
          <w:rFonts w:ascii="Times New Roman" w:hAnsi="Times New Roman" w:cs="Times New Roman"/>
          <w:iCs/>
          <w:sz w:val="24"/>
        </w:rPr>
        <w:t xml:space="preserve">cultural safety </w:t>
      </w:r>
      <w:r w:rsidR="001339E4">
        <w:rPr>
          <w:rFonts w:ascii="Times New Roman" w:hAnsi="Times New Roman" w:cs="Times New Roman"/>
          <w:iCs/>
          <w:sz w:val="24"/>
        </w:rPr>
        <w:t xml:space="preserve">and </w:t>
      </w:r>
      <w:r>
        <w:rPr>
          <w:rFonts w:ascii="Times New Roman" w:hAnsi="Times New Roman" w:cs="Times New Roman"/>
          <w:iCs/>
          <w:sz w:val="24"/>
        </w:rPr>
        <w:t>interprofessional education competencies</w:t>
      </w:r>
    </w:p>
    <w:p w:rsidRPr="00475C30" w:rsidR="00A83DCC" w:rsidP="00EF4F2E" w:rsidRDefault="00A83DCC" w14:paraId="2959E83D" w14:textId="4147CE53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The </w:t>
      </w:r>
      <w:r w:rsidR="00C83E8A">
        <w:rPr>
          <w:rFonts w:ascii="Times New Roman" w:hAnsi="Times New Roman" w:cs="Times New Roman"/>
          <w:iCs/>
          <w:sz w:val="24"/>
        </w:rPr>
        <w:t xml:space="preserve">interprofessional tutorials </w:t>
      </w:r>
      <w:r w:rsidR="002910FE">
        <w:rPr>
          <w:rFonts w:ascii="Times New Roman" w:hAnsi="Times New Roman" w:cs="Times New Roman"/>
          <w:iCs/>
          <w:sz w:val="24"/>
        </w:rPr>
        <w:t xml:space="preserve">with interactive case studies </w:t>
      </w:r>
      <w:r w:rsidR="00C83E8A">
        <w:rPr>
          <w:rFonts w:ascii="Times New Roman" w:hAnsi="Times New Roman" w:cs="Times New Roman"/>
          <w:iCs/>
          <w:sz w:val="24"/>
        </w:rPr>
        <w:t>and interprofessional panel session</w:t>
      </w:r>
      <w:r>
        <w:rPr>
          <w:rFonts w:ascii="Times New Roman" w:hAnsi="Times New Roman" w:cs="Times New Roman"/>
          <w:iCs/>
          <w:sz w:val="24"/>
        </w:rPr>
        <w:t xml:space="preserve"> were viewed by </w:t>
      </w:r>
      <w:r w:rsidR="00845AE6">
        <w:rPr>
          <w:rFonts w:ascii="Times New Roman" w:hAnsi="Times New Roman" w:cs="Times New Roman"/>
          <w:iCs/>
          <w:sz w:val="24"/>
        </w:rPr>
        <w:t>students</w:t>
      </w:r>
      <w:r>
        <w:rPr>
          <w:rFonts w:ascii="Times New Roman" w:hAnsi="Times New Roman" w:cs="Times New Roman"/>
          <w:iCs/>
          <w:sz w:val="24"/>
        </w:rPr>
        <w:t xml:space="preserve"> and educators as key to the success of the ‘ways of knowing in health care’ curriculum</w:t>
      </w:r>
    </w:p>
    <w:p w:rsidRPr="00440483" w:rsidR="00A83DCC" w:rsidP="00EF4F2E" w:rsidRDefault="00475C30" w14:paraId="4BC25344" w14:textId="0F988FDF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Th</w:t>
      </w:r>
      <w:r w:rsidR="00482FE4">
        <w:rPr>
          <w:rFonts w:ascii="Times New Roman" w:hAnsi="Times New Roman" w:cs="Times New Roman"/>
          <w:iCs/>
          <w:sz w:val="24"/>
        </w:rPr>
        <w:t>e</w:t>
      </w:r>
      <w:r w:rsidR="00A83DCC">
        <w:rPr>
          <w:rFonts w:ascii="Times New Roman" w:hAnsi="Times New Roman" w:cs="Times New Roman"/>
          <w:iCs/>
          <w:sz w:val="24"/>
        </w:rPr>
        <w:t xml:space="preserve"> </w:t>
      </w:r>
      <w:r w:rsidR="00C83E8A">
        <w:rPr>
          <w:rFonts w:ascii="Times New Roman" w:hAnsi="Times New Roman" w:cs="Times New Roman"/>
          <w:iCs/>
          <w:sz w:val="24"/>
        </w:rPr>
        <w:t>co-</w:t>
      </w:r>
      <w:r w:rsidR="00A83DCC">
        <w:rPr>
          <w:rFonts w:ascii="Times New Roman" w:hAnsi="Times New Roman" w:cs="Times New Roman"/>
          <w:iCs/>
          <w:sz w:val="24"/>
        </w:rPr>
        <w:t>facilitat</w:t>
      </w:r>
      <w:r>
        <w:rPr>
          <w:rFonts w:ascii="Times New Roman" w:hAnsi="Times New Roman" w:cs="Times New Roman"/>
          <w:iCs/>
          <w:sz w:val="24"/>
        </w:rPr>
        <w:t>ion</w:t>
      </w:r>
      <w:r w:rsidR="00A83DCC">
        <w:rPr>
          <w:rFonts w:ascii="Times New Roman" w:hAnsi="Times New Roman" w:cs="Times New Roman"/>
          <w:iCs/>
          <w:sz w:val="24"/>
        </w:rPr>
        <w:t xml:space="preserve"> by both a First Nations health tutor as well as a </w:t>
      </w:r>
      <w:r>
        <w:rPr>
          <w:rFonts w:ascii="Times New Roman" w:hAnsi="Times New Roman" w:cs="Times New Roman"/>
          <w:iCs/>
          <w:sz w:val="24"/>
        </w:rPr>
        <w:t xml:space="preserve">non-Indigenous Faculty </w:t>
      </w:r>
      <w:r w:rsidR="00A83DCC">
        <w:rPr>
          <w:rFonts w:ascii="Times New Roman" w:hAnsi="Times New Roman" w:cs="Times New Roman"/>
          <w:iCs/>
          <w:sz w:val="24"/>
        </w:rPr>
        <w:t xml:space="preserve">staff member </w:t>
      </w:r>
      <w:r>
        <w:rPr>
          <w:rFonts w:ascii="Times New Roman" w:hAnsi="Times New Roman" w:cs="Times New Roman"/>
          <w:iCs/>
          <w:sz w:val="24"/>
        </w:rPr>
        <w:t xml:space="preserve">was highlighted as valuable </w:t>
      </w:r>
      <w:r w:rsidR="00B27DD5">
        <w:rPr>
          <w:rFonts w:ascii="Times New Roman" w:hAnsi="Times New Roman" w:cs="Times New Roman"/>
          <w:iCs/>
          <w:sz w:val="24"/>
        </w:rPr>
        <w:t xml:space="preserve">learning experiences </w:t>
      </w:r>
      <w:r>
        <w:rPr>
          <w:rFonts w:ascii="Times New Roman" w:hAnsi="Times New Roman" w:cs="Times New Roman"/>
          <w:iCs/>
          <w:sz w:val="24"/>
        </w:rPr>
        <w:t xml:space="preserve">by both </w:t>
      </w:r>
      <w:r w:rsidR="00845AE6">
        <w:rPr>
          <w:rFonts w:ascii="Times New Roman" w:hAnsi="Times New Roman" w:cs="Times New Roman"/>
          <w:iCs/>
          <w:sz w:val="24"/>
        </w:rPr>
        <w:t xml:space="preserve">educators </w:t>
      </w:r>
      <w:r>
        <w:rPr>
          <w:rFonts w:ascii="Times New Roman" w:hAnsi="Times New Roman" w:cs="Times New Roman"/>
          <w:iCs/>
          <w:sz w:val="24"/>
        </w:rPr>
        <w:t xml:space="preserve">and </w:t>
      </w:r>
      <w:r w:rsidR="00845AE6">
        <w:rPr>
          <w:rFonts w:ascii="Times New Roman" w:hAnsi="Times New Roman" w:cs="Times New Roman"/>
          <w:iCs/>
          <w:sz w:val="24"/>
        </w:rPr>
        <w:t>students</w:t>
      </w:r>
    </w:p>
    <w:p w:rsidRPr="00786AB1" w:rsidR="00E60632" w:rsidP="2B6E9E7C" w:rsidRDefault="00440483" w14:paraId="2F24A5A8" w14:textId="1E7E7A31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B6E9E7C" w:rsidR="00440483">
        <w:rPr>
          <w:rFonts w:ascii="Times New Roman" w:hAnsi="Times New Roman" w:cs="Times New Roman"/>
          <w:sz w:val="24"/>
          <w:szCs w:val="24"/>
        </w:rPr>
        <w:t xml:space="preserve">Further exploration of both educator and students </w:t>
      </w:r>
      <w:r w:rsidRPr="2B6E9E7C" w:rsidR="005B31EE">
        <w:rPr>
          <w:rFonts w:ascii="Times New Roman" w:hAnsi="Times New Roman" w:cs="Times New Roman"/>
          <w:sz w:val="24"/>
          <w:szCs w:val="24"/>
        </w:rPr>
        <w:t xml:space="preserve">shifts in </w:t>
      </w:r>
      <w:r w:rsidRPr="2B6E9E7C" w:rsidR="006A36F8">
        <w:rPr>
          <w:rFonts w:ascii="Times New Roman" w:hAnsi="Times New Roman" w:cs="Times New Roman"/>
          <w:sz w:val="24"/>
          <w:szCs w:val="24"/>
        </w:rPr>
        <w:t>‘</w:t>
      </w:r>
      <w:r w:rsidRPr="2B6E9E7C" w:rsidR="00786AB1">
        <w:rPr>
          <w:rFonts w:ascii="Times New Roman" w:hAnsi="Times New Roman" w:cs="Times New Roman"/>
          <w:sz w:val="24"/>
          <w:szCs w:val="24"/>
        </w:rPr>
        <w:t>ways of knowing</w:t>
      </w:r>
      <w:r w:rsidRPr="2B6E9E7C" w:rsidR="006A36F8">
        <w:rPr>
          <w:rFonts w:ascii="Times New Roman" w:hAnsi="Times New Roman" w:cs="Times New Roman"/>
          <w:sz w:val="24"/>
          <w:szCs w:val="24"/>
        </w:rPr>
        <w:t>’</w:t>
      </w:r>
      <w:r w:rsidRPr="2B6E9E7C" w:rsidR="00786AB1">
        <w:rPr>
          <w:rFonts w:ascii="Times New Roman" w:hAnsi="Times New Roman" w:cs="Times New Roman"/>
          <w:sz w:val="24"/>
          <w:szCs w:val="24"/>
        </w:rPr>
        <w:t xml:space="preserve">, </w:t>
      </w:r>
      <w:r w:rsidRPr="2B6E9E7C" w:rsidR="00440483">
        <w:rPr>
          <w:rFonts w:ascii="Times New Roman" w:hAnsi="Times New Roman" w:cs="Times New Roman"/>
          <w:sz w:val="24"/>
          <w:szCs w:val="24"/>
        </w:rPr>
        <w:t xml:space="preserve">resistance </w:t>
      </w:r>
      <w:r w:rsidRPr="2B6E9E7C" w:rsidR="005B31EE">
        <w:rPr>
          <w:rFonts w:ascii="Times New Roman" w:hAnsi="Times New Roman" w:cs="Times New Roman"/>
          <w:sz w:val="24"/>
          <w:szCs w:val="24"/>
        </w:rPr>
        <w:t xml:space="preserve">to engagement </w:t>
      </w:r>
      <w:r w:rsidRPr="2B6E9E7C" w:rsidR="00440483">
        <w:rPr>
          <w:rFonts w:ascii="Times New Roman" w:hAnsi="Times New Roman" w:cs="Times New Roman"/>
          <w:sz w:val="24"/>
          <w:szCs w:val="24"/>
        </w:rPr>
        <w:t xml:space="preserve">and evidence of </w:t>
      </w:r>
      <w:r w:rsidRPr="2B6E9E7C" w:rsidR="00786AB1">
        <w:rPr>
          <w:rFonts w:ascii="Times New Roman" w:hAnsi="Times New Roman" w:cs="Times New Roman"/>
          <w:sz w:val="24"/>
          <w:szCs w:val="24"/>
        </w:rPr>
        <w:t>behaviour change i</w:t>
      </w:r>
      <w:r w:rsidRPr="2B6E9E7C" w:rsidR="00440483">
        <w:rPr>
          <w:rFonts w:ascii="Times New Roman" w:hAnsi="Times New Roman" w:cs="Times New Roman"/>
          <w:sz w:val="24"/>
          <w:szCs w:val="24"/>
        </w:rPr>
        <w:t>s required</w:t>
      </w:r>
      <w:r w:rsidRPr="2B6E9E7C" w:rsidR="005A2137">
        <w:rPr>
          <w:rFonts w:ascii="Times New Roman" w:hAnsi="Times New Roman" w:cs="Times New Roman"/>
          <w:sz w:val="24"/>
          <w:szCs w:val="24"/>
        </w:rPr>
        <w:t>, as well as ongoing design of pedagogy (nested tasks) across the length of programs to build on these capabilities</w:t>
      </w:r>
    </w:p>
    <w:p w:rsidR="004C170E" w:rsidRDefault="004C170E" w14:paraId="4D5CADFD" w14:textId="7777777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Pr="0088328A" w:rsidR="00335145" w:rsidP="00016694" w:rsidRDefault="00CD7FF3" w14:paraId="74A790B6" w14:textId="039A3129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328A">
        <w:rPr>
          <w:rFonts w:ascii="Times New Roman" w:hAnsi="Times New Roman" w:cs="Times New Roman"/>
          <w:i/>
          <w:sz w:val="24"/>
          <w:szCs w:val="24"/>
        </w:rPr>
        <w:lastRenderedPageBreak/>
        <w:t>Background:</w:t>
      </w:r>
    </w:p>
    <w:p w:rsidR="0088328A" w:rsidP="0088328A" w:rsidRDefault="00A17087" w14:paraId="6AB9EF2C" w14:textId="62C5DD6D">
      <w:pPr>
        <w:pStyle w:val="Default"/>
        <w:rPr>
          <w:rFonts w:asciiTheme="majorBidi" w:hAnsiTheme="majorBidi" w:cstheme="majorBidi"/>
          <w:i/>
        </w:rPr>
      </w:pPr>
      <w:r w:rsidRPr="0088328A">
        <w:rPr>
          <w:rFonts w:ascii="Times New Roman" w:hAnsi="Times New Roman" w:cs="Times New Roman"/>
        </w:rPr>
        <w:t xml:space="preserve">Entry-to-practice health professional programs are increasingly required by accreditation standards to demonstrate that </w:t>
      </w:r>
      <w:r w:rsidRPr="0088328A" w:rsidR="00E61D6C">
        <w:rPr>
          <w:rFonts w:ascii="Times New Roman" w:hAnsi="Times New Roman" w:cs="Times New Roman"/>
        </w:rPr>
        <w:t xml:space="preserve">their </w:t>
      </w:r>
      <w:r w:rsidRPr="0088328A">
        <w:rPr>
          <w:rFonts w:ascii="Times New Roman" w:hAnsi="Times New Roman" w:cs="Times New Roman"/>
        </w:rPr>
        <w:t xml:space="preserve">curriculum explicitly includes First Nations health and wellness as well as interprofessional education. </w:t>
      </w:r>
      <w:r w:rsidRPr="0088328A" w:rsidR="00E61D6C">
        <w:rPr>
          <w:rFonts w:ascii="Times New Roman" w:hAnsi="Times New Roman" w:cs="Times New Roman"/>
        </w:rPr>
        <w:t>E</w:t>
      </w:r>
      <w:r w:rsidRPr="0088328A" w:rsidR="00335145">
        <w:rPr>
          <w:rFonts w:ascii="Times New Roman" w:hAnsi="Times New Roman" w:cs="Times New Roman"/>
        </w:rPr>
        <w:t>ducators in the Faculty of Medicine, Dentistry and Health Sciences at the University of Melbourn</w:t>
      </w:r>
      <w:r w:rsidRPr="0088328A" w:rsidR="00580CC6">
        <w:rPr>
          <w:rFonts w:ascii="Times New Roman" w:hAnsi="Times New Roman" w:cs="Times New Roman"/>
        </w:rPr>
        <w:t xml:space="preserve">e </w:t>
      </w:r>
      <w:proofErr w:type="spellStart"/>
      <w:r w:rsidRPr="0088328A" w:rsidR="00580CC6">
        <w:rPr>
          <w:rFonts w:ascii="Times New Roman" w:hAnsi="Times New Roman" w:cs="Times New Roman"/>
        </w:rPr>
        <w:t>recognised</w:t>
      </w:r>
      <w:proofErr w:type="spellEnd"/>
      <w:r w:rsidRPr="0088328A" w:rsidR="00E61D6C">
        <w:rPr>
          <w:rFonts w:ascii="Times New Roman" w:hAnsi="Times New Roman" w:cs="Times New Roman"/>
        </w:rPr>
        <w:t xml:space="preserve"> the significant potential for First Nations health teaching to </w:t>
      </w:r>
      <w:r w:rsidRPr="0088328A" w:rsidR="00841C01">
        <w:rPr>
          <w:rFonts w:ascii="Times New Roman" w:hAnsi="Times New Roman" w:cs="Times New Roman"/>
        </w:rPr>
        <w:t xml:space="preserve">authentically build skills </w:t>
      </w:r>
      <w:r w:rsidR="00A83DCC">
        <w:rPr>
          <w:rFonts w:ascii="Times New Roman" w:hAnsi="Times New Roman" w:cs="Times New Roman"/>
        </w:rPr>
        <w:t>in</w:t>
      </w:r>
      <w:r w:rsidRPr="0088328A" w:rsidR="00A83DCC">
        <w:rPr>
          <w:rFonts w:ascii="Times New Roman" w:hAnsi="Times New Roman" w:cs="Times New Roman"/>
        </w:rPr>
        <w:t xml:space="preserve"> </w:t>
      </w:r>
      <w:r w:rsidRPr="0088328A" w:rsidR="00841C01">
        <w:rPr>
          <w:rFonts w:ascii="Times New Roman" w:hAnsi="Times New Roman" w:cs="Times New Roman"/>
        </w:rPr>
        <w:t xml:space="preserve">critical </w:t>
      </w:r>
      <w:r w:rsidRPr="0088328A" w:rsidR="00321C9D">
        <w:rPr>
          <w:rFonts w:ascii="Times New Roman" w:hAnsi="Times New Roman" w:cs="Times New Roman"/>
        </w:rPr>
        <w:t xml:space="preserve">reflective practice, holistic care, person-centered care, effective communication and </w:t>
      </w:r>
      <w:r w:rsidR="00A83DCC">
        <w:rPr>
          <w:rFonts w:ascii="Times New Roman" w:hAnsi="Times New Roman" w:cs="Times New Roman"/>
        </w:rPr>
        <w:t>teamwork</w:t>
      </w:r>
      <w:r w:rsidR="006A36F8">
        <w:rPr>
          <w:rFonts w:ascii="Times New Roman" w:hAnsi="Times New Roman" w:cs="Times New Roman"/>
        </w:rPr>
        <w:t xml:space="preserve"> in an interprofessional context. </w:t>
      </w:r>
      <w:r w:rsidRPr="0088328A" w:rsidR="00580CC6">
        <w:rPr>
          <w:rFonts w:ascii="Times New Roman" w:hAnsi="Times New Roman" w:cs="Times New Roman"/>
        </w:rPr>
        <w:t>In 2020, a</w:t>
      </w:r>
      <w:r w:rsidRPr="0088328A" w:rsidR="005B31EE">
        <w:rPr>
          <w:rFonts w:ascii="Times New Roman" w:hAnsi="Times New Roman" w:cs="Times New Roman"/>
        </w:rPr>
        <w:t xml:space="preserve"> new</w:t>
      </w:r>
      <w:r w:rsidRPr="0088328A" w:rsidR="00580CC6">
        <w:rPr>
          <w:rFonts w:ascii="Times New Roman" w:hAnsi="Times New Roman" w:cs="Times New Roman"/>
        </w:rPr>
        <w:t xml:space="preserve"> ‘Ways of knowing in healthcare’ interprofessional symposium was developed and implemented as </w:t>
      </w:r>
      <w:r w:rsidR="003571BF">
        <w:rPr>
          <w:rFonts w:ascii="Times New Roman" w:hAnsi="Times New Roman" w:cs="Times New Roman"/>
        </w:rPr>
        <w:t xml:space="preserve">a </w:t>
      </w:r>
      <w:r w:rsidRPr="0088328A" w:rsidR="00580CC6">
        <w:rPr>
          <w:rFonts w:ascii="Times New Roman" w:hAnsi="Times New Roman" w:cs="Times New Roman"/>
        </w:rPr>
        <w:t>pilot core curriculum activity</w:t>
      </w:r>
      <w:r w:rsidRPr="0088328A" w:rsidR="004C170E">
        <w:rPr>
          <w:rFonts w:ascii="Times New Roman" w:hAnsi="Times New Roman" w:cs="Times New Roman"/>
        </w:rPr>
        <w:t>.</w:t>
      </w:r>
      <w:r w:rsidRPr="0088328A" w:rsidR="00580CC6">
        <w:rPr>
          <w:rFonts w:ascii="Times New Roman" w:hAnsi="Times New Roman" w:cs="Times New Roman"/>
        </w:rPr>
        <w:t xml:space="preserve"> The aim was to </w:t>
      </w:r>
      <w:r w:rsidRPr="0088328A" w:rsidR="00EF4F2E">
        <w:rPr>
          <w:rFonts w:ascii="Times New Roman" w:hAnsi="Times New Roman" w:cs="Times New Roman"/>
        </w:rPr>
        <w:t xml:space="preserve">develop a heightened understanding of ontology, epistemology, cultural safety, First Nations health and </w:t>
      </w:r>
      <w:r w:rsidR="00B27DD5">
        <w:rPr>
          <w:rFonts w:ascii="Times New Roman" w:hAnsi="Times New Roman" w:cs="Times New Roman"/>
        </w:rPr>
        <w:t xml:space="preserve">collaborative </w:t>
      </w:r>
      <w:r w:rsidRPr="0088328A" w:rsidR="00EF4F2E">
        <w:rPr>
          <w:rFonts w:ascii="Times New Roman" w:hAnsi="Times New Roman" w:cs="Times New Roman"/>
        </w:rPr>
        <w:t>practice.</w:t>
      </w:r>
      <w:r w:rsidR="0088328A">
        <w:rPr>
          <w:rFonts w:ascii="Times New Roman" w:hAnsi="Times New Roman" w:cs="Times New Roman"/>
        </w:rPr>
        <w:t xml:space="preserve"> (11</w:t>
      </w:r>
      <w:r w:rsidR="00B27DD5">
        <w:rPr>
          <w:rFonts w:ascii="Times New Roman" w:hAnsi="Times New Roman" w:cs="Times New Roman"/>
        </w:rPr>
        <w:t>2</w:t>
      </w:r>
      <w:r w:rsidR="0088328A">
        <w:rPr>
          <w:rFonts w:ascii="Times New Roman" w:hAnsi="Times New Roman" w:cs="Times New Roman"/>
        </w:rPr>
        <w:t xml:space="preserve"> words) </w:t>
      </w:r>
      <w:r w:rsidRPr="004C170E" w:rsidR="00016694">
        <w:rPr>
          <w:rFonts w:asciiTheme="majorHAnsi" w:hAnsiTheme="majorHAnsi" w:cstheme="majorHAnsi"/>
          <w:iCs/>
        </w:rPr>
        <w:br/>
      </w:r>
    </w:p>
    <w:p w:rsidRPr="0088328A" w:rsidR="00335145" w:rsidP="0088328A" w:rsidRDefault="00CD7FF3" w14:paraId="70906D8F" w14:textId="790C5F88">
      <w:pPr>
        <w:pStyle w:val="Default"/>
        <w:rPr>
          <w:rFonts w:ascii="Times New Roman" w:hAnsi="Times New Roman" w:cs="Times New Roman"/>
        </w:rPr>
      </w:pPr>
      <w:r w:rsidRPr="0088328A">
        <w:rPr>
          <w:rFonts w:asciiTheme="majorBidi" w:hAnsiTheme="majorBidi" w:cstheme="majorBidi"/>
          <w:i/>
        </w:rPr>
        <w:t>Aim:</w:t>
      </w:r>
    </w:p>
    <w:p w:rsidRPr="0088328A" w:rsidR="00335145" w:rsidP="00335145" w:rsidRDefault="00E61D6C" w14:paraId="64DEB655" w14:textId="299DA9BB">
      <w:pPr>
        <w:pStyle w:val="Default"/>
        <w:rPr>
          <w:rFonts w:asciiTheme="majorBidi" w:hAnsiTheme="majorBidi" w:cstheme="majorBidi"/>
        </w:rPr>
      </w:pPr>
      <w:r w:rsidRPr="0088328A">
        <w:rPr>
          <w:rFonts w:asciiTheme="majorBidi" w:hAnsiTheme="majorBidi" w:cstheme="majorBidi"/>
        </w:rPr>
        <w:t>The r</w:t>
      </w:r>
      <w:r w:rsidRPr="0088328A" w:rsidR="00335145">
        <w:rPr>
          <w:rFonts w:asciiTheme="majorBidi" w:hAnsiTheme="majorBidi" w:cstheme="majorBidi"/>
        </w:rPr>
        <w:t>esearch questions</w:t>
      </w:r>
      <w:r w:rsidRPr="0088328A">
        <w:rPr>
          <w:rFonts w:asciiTheme="majorBidi" w:hAnsiTheme="majorBidi" w:cstheme="majorBidi"/>
        </w:rPr>
        <w:t xml:space="preserve"> were:</w:t>
      </w:r>
    </w:p>
    <w:p w:rsidRPr="0088328A" w:rsidR="00335145" w:rsidP="00335145" w:rsidRDefault="00335145" w14:paraId="5227E6E8" w14:textId="5FD246DE">
      <w:pPr>
        <w:pStyle w:val="Default"/>
        <w:rPr>
          <w:rFonts w:asciiTheme="majorBidi" w:hAnsiTheme="majorBidi" w:cstheme="majorBidi"/>
        </w:rPr>
      </w:pPr>
    </w:p>
    <w:p w:rsidRPr="0088328A" w:rsidR="00335145" w:rsidP="00335145" w:rsidRDefault="00335145" w14:paraId="20F5A4C4" w14:textId="6957407F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88328A">
        <w:rPr>
          <w:rFonts w:asciiTheme="majorBidi" w:hAnsiTheme="majorBidi" w:cstheme="majorBidi"/>
        </w:rPr>
        <w:t>What are students’ perceptions on the extent to which the ‘Ways of knowing in healthcare’ symposium achieved the intended learning outcomes?</w:t>
      </w:r>
    </w:p>
    <w:p w:rsidRPr="0088328A" w:rsidR="00335145" w:rsidP="00335145" w:rsidRDefault="00335145" w14:paraId="58823CEF" w14:textId="078A0C0B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88328A">
        <w:rPr>
          <w:rFonts w:asciiTheme="majorBidi" w:hAnsiTheme="majorBidi" w:cstheme="majorBidi"/>
        </w:rPr>
        <w:t xml:space="preserve">What changes did students experience in their understanding of ontology, epistemology, cultural safety, First Nations health and </w:t>
      </w:r>
      <w:r w:rsidRPr="0088328A" w:rsidR="004C170E">
        <w:rPr>
          <w:rFonts w:asciiTheme="majorBidi" w:hAnsiTheme="majorBidi" w:cstheme="majorBidi"/>
        </w:rPr>
        <w:t xml:space="preserve">interprofessional </w:t>
      </w:r>
      <w:r w:rsidRPr="0088328A">
        <w:rPr>
          <w:rFonts w:asciiTheme="majorBidi" w:hAnsiTheme="majorBidi" w:cstheme="majorBidi"/>
        </w:rPr>
        <w:t>practice?</w:t>
      </w:r>
    </w:p>
    <w:p w:rsidR="0088328A" w:rsidP="0088328A" w:rsidRDefault="00335145" w14:paraId="38BC89F1" w14:textId="648CB430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88328A">
        <w:rPr>
          <w:rFonts w:asciiTheme="majorBidi" w:hAnsiTheme="majorBidi" w:cstheme="majorBidi"/>
        </w:rPr>
        <w:t>What core competencies of interprofessional collaboration were built by health professional students?</w:t>
      </w:r>
    </w:p>
    <w:p w:rsidRPr="0088328A" w:rsidR="0088328A" w:rsidP="0088328A" w:rsidRDefault="0088328A" w14:paraId="04E98289" w14:textId="5BCC90C9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B27DD5">
        <w:rPr>
          <w:rFonts w:asciiTheme="majorBidi" w:hAnsiTheme="majorBidi" w:cstheme="majorBidi"/>
        </w:rPr>
        <w:t>59</w:t>
      </w:r>
      <w:r>
        <w:rPr>
          <w:rFonts w:asciiTheme="majorBidi" w:hAnsiTheme="majorBidi" w:cstheme="majorBidi"/>
        </w:rPr>
        <w:t xml:space="preserve"> words) </w:t>
      </w:r>
    </w:p>
    <w:p w:rsidRPr="0088328A" w:rsidR="00E61D6C" w:rsidP="00CD7FF3" w:rsidRDefault="00E61D6C" w14:paraId="30287A15" w14:textId="007A2342">
      <w:pPr>
        <w:spacing w:after="120" w:line="360" w:lineRule="auto"/>
        <w:rPr>
          <w:rFonts w:asciiTheme="majorBidi" w:hAnsiTheme="majorBidi" w:cstheme="majorBidi"/>
          <w:i/>
          <w:sz w:val="24"/>
          <w:szCs w:val="24"/>
        </w:rPr>
      </w:pPr>
    </w:p>
    <w:p w:rsidRPr="0088328A" w:rsidR="00CD7FF3" w:rsidP="00CD7FF3" w:rsidRDefault="00CD7FF3" w14:paraId="1A6C4445" w14:textId="1D8DCAF1">
      <w:pPr>
        <w:spacing w:after="120" w:line="360" w:lineRule="auto"/>
        <w:rPr>
          <w:rFonts w:asciiTheme="majorBidi" w:hAnsiTheme="majorBidi" w:cstheme="majorBidi"/>
          <w:i/>
          <w:sz w:val="24"/>
          <w:szCs w:val="24"/>
        </w:rPr>
      </w:pPr>
      <w:r w:rsidRPr="0088328A">
        <w:rPr>
          <w:rFonts w:asciiTheme="majorBidi" w:hAnsiTheme="majorBidi" w:cstheme="majorBidi"/>
          <w:i/>
          <w:sz w:val="24"/>
          <w:szCs w:val="24"/>
        </w:rPr>
        <w:t>Study Design</w:t>
      </w:r>
      <w:r w:rsidRPr="0088328A" w:rsidR="002B262E">
        <w:rPr>
          <w:rFonts w:asciiTheme="majorBidi" w:hAnsiTheme="majorBidi" w:cstheme="majorBidi"/>
          <w:i/>
          <w:sz w:val="24"/>
          <w:szCs w:val="24"/>
        </w:rPr>
        <w:t xml:space="preserve"> and</w:t>
      </w:r>
      <w:r w:rsidRPr="0088328A" w:rsidR="00824E01">
        <w:rPr>
          <w:rFonts w:asciiTheme="majorBidi" w:hAnsiTheme="majorBidi" w:cstheme="majorBidi"/>
          <w:i/>
          <w:sz w:val="24"/>
          <w:szCs w:val="24"/>
        </w:rPr>
        <w:t xml:space="preserve"> preliminary results</w:t>
      </w:r>
    </w:p>
    <w:p w:rsidRPr="0088328A" w:rsidR="0045555F" w:rsidP="00786AB1" w:rsidRDefault="00824E01" w14:paraId="3354A92E" w14:textId="575FF40C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88328A">
        <w:rPr>
          <w:rFonts w:asciiTheme="majorBidi" w:hAnsiTheme="majorBidi" w:cstheme="majorBidi"/>
          <w:iCs/>
          <w:sz w:val="24"/>
          <w:szCs w:val="24"/>
        </w:rPr>
        <w:t>Ways of Knowing was delivered in February 2020 to 6</w:t>
      </w:r>
      <w:r w:rsidR="0088328A">
        <w:rPr>
          <w:rFonts w:asciiTheme="majorBidi" w:hAnsiTheme="majorBidi" w:cstheme="majorBidi"/>
          <w:iCs/>
          <w:sz w:val="24"/>
          <w:szCs w:val="24"/>
        </w:rPr>
        <w:t>8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0 students across </w:t>
      </w:r>
      <w:r w:rsidR="00740169">
        <w:rPr>
          <w:rFonts w:asciiTheme="majorBidi" w:hAnsiTheme="majorBidi" w:cstheme="majorBidi"/>
          <w:iCs/>
          <w:sz w:val="24"/>
          <w:szCs w:val="24"/>
        </w:rPr>
        <w:t>four</w:t>
      </w:r>
      <w:r w:rsidRPr="0088328A" w:rsidR="00740169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>
        <w:rPr>
          <w:rFonts w:asciiTheme="majorBidi" w:hAnsiTheme="majorBidi" w:cstheme="majorBidi"/>
          <w:iCs/>
          <w:sz w:val="24"/>
          <w:szCs w:val="24"/>
        </w:rPr>
        <w:t>disciplines</w:t>
      </w:r>
      <w:r w:rsidRPr="0088328A">
        <w:rPr>
          <w:rFonts w:asciiTheme="majorBidi" w:hAnsiTheme="majorBidi" w:cstheme="majorBidi"/>
          <w:sz w:val="24"/>
          <w:szCs w:val="24"/>
        </w:rPr>
        <w:t>: medicine, physiotherapy, nursing and optometry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88328A">
        <w:rPr>
          <w:rFonts w:asciiTheme="majorBidi" w:hAnsiTheme="majorBidi" w:cstheme="majorBidi"/>
          <w:iCs/>
          <w:sz w:val="24"/>
          <w:szCs w:val="24"/>
        </w:rPr>
        <w:t>F</w:t>
      </w:r>
      <w:r w:rsidRPr="0088328A" w:rsidR="00841C01">
        <w:rPr>
          <w:rFonts w:asciiTheme="majorBidi" w:hAnsiTheme="majorBidi" w:cstheme="majorBidi"/>
          <w:iCs/>
          <w:sz w:val="24"/>
          <w:szCs w:val="24"/>
        </w:rPr>
        <w:t>ive</w:t>
      </w:r>
      <w:r w:rsidRPr="0088328A" w:rsidR="00440483">
        <w:rPr>
          <w:rFonts w:asciiTheme="majorBidi" w:hAnsiTheme="majorBidi" w:cstheme="majorBidi"/>
          <w:iCs/>
          <w:sz w:val="24"/>
          <w:szCs w:val="24"/>
        </w:rPr>
        <w:t xml:space="preserve"> phases were proposed to explore the research questions.  </w:t>
      </w:r>
    </w:p>
    <w:p w:rsidRPr="0088328A" w:rsidR="004C170E" w:rsidP="00786AB1" w:rsidRDefault="0045555F" w14:paraId="063A2947" w14:textId="5B642820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88328A">
        <w:rPr>
          <w:rFonts w:asciiTheme="majorBidi" w:hAnsiTheme="majorBidi" w:cstheme="majorBidi"/>
          <w:b/>
          <w:bCs/>
          <w:iCs/>
          <w:sz w:val="24"/>
          <w:szCs w:val="24"/>
        </w:rPr>
        <w:t>Phase 1</w:t>
      </w:r>
      <w:r w:rsidRPr="0088328A" w:rsidR="002776D8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88328A">
        <w:rPr>
          <w:rFonts w:asciiTheme="majorBidi" w:hAnsiTheme="majorBidi" w:cstheme="majorBidi"/>
          <w:iCs/>
          <w:sz w:val="24"/>
          <w:szCs w:val="24"/>
        </w:rPr>
        <w:t>O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n-the-day 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>paper-based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 student feedback</w:t>
      </w:r>
      <w:r w:rsidRPr="0088328A" w:rsidR="00786AB1">
        <w:rPr>
          <w:rFonts w:asciiTheme="majorBidi" w:hAnsiTheme="majorBidi" w:cstheme="majorBidi"/>
          <w:iCs/>
          <w:sz w:val="24"/>
          <w:szCs w:val="24"/>
        </w:rPr>
        <w:t xml:space="preserve"> to explore immediate student perceptions</w:t>
      </w:r>
      <w:r w:rsidRPr="0088328A" w:rsidR="008D139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786AB1">
        <w:rPr>
          <w:rFonts w:asciiTheme="majorBidi" w:hAnsiTheme="majorBidi" w:cstheme="majorBidi"/>
          <w:iCs/>
          <w:sz w:val="24"/>
          <w:szCs w:val="24"/>
        </w:rPr>
        <w:br/>
      </w:r>
      <w:r w:rsidRPr="0088328A">
        <w:rPr>
          <w:rFonts w:asciiTheme="majorBidi" w:hAnsiTheme="majorBidi" w:cstheme="majorBidi"/>
          <w:b/>
          <w:bCs/>
          <w:iCs/>
          <w:sz w:val="24"/>
          <w:szCs w:val="24"/>
        </w:rPr>
        <w:t>Phase 2:</w:t>
      </w:r>
      <w:r w:rsidR="0088328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740169">
        <w:rPr>
          <w:rFonts w:asciiTheme="majorBidi" w:hAnsiTheme="majorBidi" w:cstheme="majorBidi"/>
          <w:iCs/>
          <w:sz w:val="24"/>
          <w:szCs w:val="24"/>
        </w:rPr>
        <w:t>An online t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utor survey </w:t>
      </w:r>
      <w:r w:rsidR="00740169">
        <w:rPr>
          <w:rFonts w:asciiTheme="majorBidi" w:hAnsiTheme="majorBidi" w:cstheme="majorBidi"/>
          <w:iCs/>
          <w:sz w:val="24"/>
          <w:szCs w:val="24"/>
        </w:rPr>
        <w:t>delivered two</w:t>
      </w:r>
      <w:r w:rsidR="0088328A">
        <w:rPr>
          <w:rFonts w:asciiTheme="majorBidi" w:hAnsiTheme="majorBidi" w:cstheme="majorBidi"/>
          <w:iCs/>
          <w:sz w:val="24"/>
          <w:szCs w:val="24"/>
        </w:rPr>
        <w:t xml:space="preserve">-weeks </w:t>
      </w:r>
      <w:r w:rsidR="00740169">
        <w:rPr>
          <w:rFonts w:asciiTheme="majorBidi" w:hAnsiTheme="majorBidi" w:cstheme="majorBidi"/>
          <w:iCs/>
          <w:sz w:val="24"/>
          <w:szCs w:val="24"/>
        </w:rPr>
        <w:t>after the symposium</w:t>
      </w:r>
      <w:r w:rsidRPr="0088328A" w:rsidR="00786AB1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722E95">
        <w:rPr>
          <w:rFonts w:asciiTheme="majorBidi" w:hAnsiTheme="majorBidi" w:cstheme="majorBidi"/>
          <w:iCs/>
          <w:sz w:val="24"/>
          <w:szCs w:val="24"/>
        </w:rPr>
        <w:t>Phase 1 and 2 were undertak</w:t>
      </w:r>
      <w:r w:rsidR="00740169">
        <w:rPr>
          <w:rFonts w:asciiTheme="majorBidi" w:hAnsiTheme="majorBidi" w:cstheme="majorBidi"/>
          <w:iCs/>
          <w:sz w:val="24"/>
          <w:szCs w:val="24"/>
        </w:rPr>
        <w:t>en</w:t>
      </w:r>
      <w:r w:rsidR="00722E95">
        <w:rPr>
          <w:rFonts w:asciiTheme="majorBidi" w:hAnsiTheme="majorBidi" w:cstheme="majorBidi"/>
          <w:iCs/>
          <w:sz w:val="24"/>
          <w:szCs w:val="24"/>
        </w:rPr>
        <w:t xml:space="preserve"> as part of an evaluation designed to inform improvements to the symposium and did not require ethics approval.</w:t>
      </w:r>
      <w:r w:rsidR="00740169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44048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Phase </w:t>
      </w:r>
      <w:r w:rsidRPr="0088328A">
        <w:rPr>
          <w:rFonts w:asciiTheme="majorBidi" w:hAnsiTheme="majorBidi" w:cstheme="majorBidi"/>
          <w:b/>
          <w:bCs/>
          <w:iCs/>
          <w:sz w:val="24"/>
          <w:szCs w:val="24"/>
        </w:rPr>
        <w:t>3:</w:t>
      </w:r>
      <w:r w:rsidRPr="0088328A" w:rsidR="00440483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88328A">
        <w:rPr>
          <w:rFonts w:asciiTheme="majorBidi" w:hAnsiTheme="majorBidi" w:cstheme="majorBidi"/>
          <w:sz w:val="24"/>
          <w:szCs w:val="24"/>
        </w:rPr>
        <w:t>A</w:t>
      </w:r>
      <w:r w:rsidRPr="0088328A" w:rsidR="00440483">
        <w:rPr>
          <w:rFonts w:asciiTheme="majorBidi" w:hAnsiTheme="majorBidi" w:cstheme="majorBidi"/>
          <w:sz w:val="24"/>
          <w:szCs w:val="24"/>
        </w:rPr>
        <w:t>nonymous and non-compulsory online survey within three months of the symposium</w:t>
      </w:r>
      <w:r w:rsidRPr="0088328A" w:rsidR="00786AB1">
        <w:rPr>
          <w:rFonts w:asciiTheme="majorBidi" w:hAnsiTheme="majorBidi" w:cstheme="majorBidi"/>
          <w:sz w:val="24"/>
          <w:szCs w:val="24"/>
        </w:rPr>
        <w:t xml:space="preserve"> t</w:t>
      </w:r>
      <w:r w:rsidRPr="0088328A" w:rsidR="002776D8">
        <w:rPr>
          <w:rFonts w:asciiTheme="majorBidi" w:hAnsiTheme="majorBidi" w:cstheme="majorBidi"/>
          <w:sz w:val="24"/>
          <w:szCs w:val="24"/>
        </w:rPr>
        <w:t>hat</w:t>
      </w:r>
      <w:r w:rsidRPr="0088328A" w:rsidR="00786AB1">
        <w:rPr>
          <w:rFonts w:asciiTheme="majorBidi" w:hAnsiTheme="majorBidi" w:cstheme="majorBidi"/>
          <w:sz w:val="24"/>
          <w:szCs w:val="24"/>
        </w:rPr>
        <w:t xml:space="preserve"> explore</w:t>
      </w:r>
      <w:r w:rsidRPr="0088328A" w:rsidR="002776D8">
        <w:rPr>
          <w:rFonts w:asciiTheme="majorBidi" w:hAnsiTheme="majorBidi" w:cstheme="majorBidi"/>
          <w:sz w:val="24"/>
          <w:szCs w:val="24"/>
        </w:rPr>
        <w:t>d</w:t>
      </w:r>
      <w:r w:rsidR="0088328A">
        <w:rPr>
          <w:rFonts w:asciiTheme="majorBidi" w:hAnsiTheme="majorBidi" w:cstheme="majorBidi"/>
          <w:sz w:val="24"/>
          <w:szCs w:val="24"/>
        </w:rPr>
        <w:t xml:space="preserve"> student’s</w:t>
      </w:r>
      <w:r w:rsidRPr="0088328A" w:rsidR="00786AB1">
        <w:rPr>
          <w:rFonts w:asciiTheme="majorBidi" w:hAnsiTheme="majorBidi" w:cstheme="majorBidi"/>
          <w:sz w:val="24"/>
          <w:szCs w:val="24"/>
        </w:rPr>
        <w:t xml:space="preserve"> reflections </w:t>
      </w:r>
      <w:r w:rsidRPr="0088328A" w:rsidR="002776D8">
        <w:rPr>
          <w:rFonts w:asciiTheme="majorBidi" w:hAnsiTheme="majorBidi" w:cstheme="majorBidi"/>
          <w:sz w:val="24"/>
          <w:szCs w:val="24"/>
        </w:rPr>
        <w:t xml:space="preserve">of learning </w:t>
      </w:r>
      <w:r w:rsidRPr="0088328A" w:rsidR="00786AB1">
        <w:rPr>
          <w:rFonts w:asciiTheme="majorBidi" w:hAnsiTheme="majorBidi" w:cstheme="majorBidi"/>
          <w:sz w:val="24"/>
          <w:szCs w:val="24"/>
        </w:rPr>
        <w:t>over time and applied learnings since the symposium</w:t>
      </w:r>
      <w:r w:rsidR="00B27DD5">
        <w:rPr>
          <w:rFonts w:asciiTheme="majorBidi" w:hAnsiTheme="majorBidi" w:cstheme="majorBidi"/>
          <w:sz w:val="24"/>
          <w:szCs w:val="24"/>
        </w:rPr>
        <w:t>, e</w:t>
      </w:r>
      <w:r w:rsidR="00475C30">
        <w:rPr>
          <w:rFonts w:asciiTheme="majorBidi" w:hAnsiTheme="majorBidi" w:cstheme="majorBidi"/>
          <w:sz w:val="24"/>
          <w:szCs w:val="24"/>
        </w:rPr>
        <w:t xml:space="preserve">thics approval HRE </w:t>
      </w:r>
      <w:r w:rsidR="00B27DD5">
        <w:rPr>
          <w:rFonts w:asciiTheme="majorBidi" w:hAnsiTheme="majorBidi" w:cstheme="majorBidi"/>
          <w:sz w:val="24"/>
          <w:szCs w:val="24"/>
        </w:rPr>
        <w:t>2056211.2</w:t>
      </w:r>
    </w:p>
    <w:p w:rsidRPr="004C170E" w:rsidR="004C170E" w:rsidP="00786AB1" w:rsidRDefault="004C170E" w14:paraId="5636E00C" w14:textId="77777777">
      <w:pPr>
        <w:spacing w:after="120" w:line="240" w:lineRule="auto"/>
        <w:rPr>
          <w:rFonts w:asciiTheme="majorHAnsi" w:hAnsiTheme="majorHAnsi" w:cstheme="majorHAnsi"/>
          <w:iCs/>
          <w:sz w:val="24"/>
          <w:szCs w:val="24"/>
        </w:rPr>
      </w:pPr>
    </w:p>
    <w:p w:rsidRPr="0088328A" w:rsidR="00824E01" w:rsidP="00786AB1" w:rsidRDefault="004356EC" w14:paraId="2DC186F9" w14:textId="204A1195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88328A">
        <w:rPr>
          <w:rFonts w:asciiTheme="majorBidi" w:hAnsiTheme="majorBidi" w:cstheme="majorBidi"/>
          <w:iCs/>
          <w:sz w:val="24"/>
          <w:szCs w:val="24"/>
        </w:rPr>
        <w:t xml:space="preserve">The response rates </w:t>
      </w:r>
      <w:r w:rsidR="00722E95">
        <w:rPr>
          <w:rFonts w:asciiTheme="majorBidi" w:hAnsiTheme="majorBidi" w:cstheme="majorBidi"/>
          <w:iCs/>
          <w:sz w:val="24"/>
          <w:szCs w:val="24"/>
        </w:rPr>
        <w:t>for</w:t>
      </w:r>
      <w:r w:rsidRPr="0088328A"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722E95">
        <w:rPr>
          <w:rFonts w:asciiTheme="majorBidi" w:hAnsiTheme="majorBidi" w:cstheme="majorBidi"/>
          <w:iCs/>
          <w:sz w:val="24"/>
          <w:szCs w:val="24"/>
        </w:rPr>
        <w:t>P</w:t>
      </w:r>
      <w:r w:rsidRPr="0088328A" w:rsidR="00722E95">
        <w:rPr>
          <w:rFonts w:asciiTheme="majorBidi" w:hAnsiTheme="majorBidi" w:cstheme="majorBidi"/>
          <w:iCs/>
          <w:sz w:val="24"/>
          <w:szCs w:val="24"/>
        </w:rPr>
        <w:t xml:space="preserve">hases </w:t>
      </w:r>
      <w:r w:rsidRPr="0088328A">
        <w:rPr>
          <w:rFonts w:asciiTheme="majorBidi" w:hAnsiTheme="majorBidi" w:cstheme="majorBidi"/>
          <w:iCs/>
          <w:sz w:val="24"/>
          <w:szCs w:val="24"/>
        </w:rPr>
        <w:t>1,</w:t>
      </w:r>
      <w:r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2 and 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>3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 were 327 respondents (47%)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>, 14 respondents (45%) and 47 student responde</w:t>
      </w:r>
      <w:r w:rsidR="004716ED">
        <w:rPr>
          <w:rFonts w:asciiTheme="majorBidi" w:hAnsiTheme="majorBidi" w:cstheme="majorBidi"/>
          <w:iCs/>
          <w:sz w:val="24"/>
          <w:szCs w:val="24"/>
        </w:rPr>
        <w:t>nts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 xml:space="preserve"> (13%) respectively. The lower than anticipated response rate for Phase 3 was </w:t>
      </w:r>
      <w:r w:rsidR="002A5C18">
        <w:rPr>
          <w:rFonts w:asciiTheme="majorBidi" w:hAnsiTheme="majorBidi" w:cstheme="majorBidi"/>
          <w:iCs/>
          <w:sz w:val="24"/>
          <w:szCs w:val="24"/>
        </w:rPr>
        <w:t>likely due to the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88328A">
        <w:rPr>
          <w:rFonts w:asciiTheme="majorBidi" w:hAnsiTheme="majorBidi" w:cstheme="majorBidi"/>
          <w:iCs/>
          <w:sz w:val="24"/>
          <w:szCs w:val="24"/>
        </w:rPr>
        <w:t xml:space="preserve">concurrent timing with </w:t>
      </w:r>
      <w:r w:rsidR="002A5C18">
        <w:rPr>
          <w:rFonts w:asciiTheme="majorBidi" w:hAnsiTheme="majorBidi" w:cstheme="majorBidi"/>
          <w:iCs/>
          <w:sz w:val="24"/>
          <w:szCs w:val="24"/>
        </w:rPr>
        <w:t xml:space="preserve">the 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>COVID-19</w:t>
      </w:r>
      <w:r w:rsidR="002A5C18">
        <w:rPr>
          <w:rFonts w:asciiTheme="majorBidi" w:hAnsiTheme="majorBidi" w:cstheme="majorBidi"/>
          <w:iCs/>
          <w:sz w:val="24"/>
          <w:szCs w:val="24"/>
        </w:rPr>
        <w:t xml:space="preserve"> pandemic</w:t>
      </w:r>
      <w:r w:rsidR="0088328A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:rsidRPr="0088328A" w:rsidR="004C170E" w:rsidP="00786AB1" w:rsidRDefault="00440483" w14:paraId="02D5C7E0" w14:textId="072C0CD3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4C170E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4C170E" w:rsidR="00786AB1">
        <w:rPr>
          <w:rFonts w:asciiTheme="majorHAnsi" w:hAnsiTheme="majorHAnsi" w:cstheme="majorHAnsi"/>
          <w:iCs/>
          <w:sz w:val="24"/>
          <w:szCs w:val="24"/>
        </w:rPr>
        <w:br/>
      </w:r>
      <w:r w:rsidRPr="0088328A" w:rsidR="0045555F">
        <w:rPr>
          <w:rFonts w:asciiTheme="majorBidi" w:hAnsiTheme="majorBidi" w:cstheme="majorBidi"/>
          <w:b/>
          <w:bCs/>
          <w:iCs/>
          <w:sz w:val="24"/>
          <w:szCs w:val="24"/>
        </w:rPr>
        <w:t>Phase 4</w:t>
      </w:r>
      <w:r w:rsidRPr="0088328A" w:rsidR="0045555F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="00B27DD5">
        <w:rPr>
          <w:rFonts w:asciiTheme="majorBidi" w:hAnsiTheme="majorBidi" w:cstheme="majorBidi"/>
          <w:iCs/>
          <w:sz w:val="24"/>
          <w:szCs w:val="24"/>
        </w:rPr>
        <w:t>A</w:t>
      </w:r>
      <w:r w:rsidR="00722E95">
        <w:rPr>
          <w:rFonts w:asciiTheme="majorBidi" w:hAnsiTheme="majorBidi" w:cstheme="majorBidi"/>
          <w:iCs/>
          <w:sz w:val="24"/>
          <w:szCs w:val="24"/>
        </w:rPr>
        <w:t>nalys</w:t>
      </w:r>
      <w:r w:rsidR="00B27DD5">
        <w:rPr>
          <w:rFonts w:asciiTheme="majorBidi" w:hAnsiTheme="majorBidi" w:cstheme="majorBidi"/>
          <w:iCs/>
          <w:sz w:val="24"/>
          <w:szCs w:val="24"/>
        </w:rPr>
        <w:t>is of</w:t>
      </w:r>
      <w:r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27DD5">
        <w:rPr>
          <w:rFonts w:asciiTheme="majorBidi" w:hAnsiTheme="majorBidi" w:cstheme="majorBidi"/>
          <w:iCs/>
          <w:sz w:val="24"/>
          <w:szCs w:val="24"/>
        </w:rPr>
        <w:t xml:space="preserve">student </w:t>
      </w:r>
      <w:r w:rsidR="00722E95">
        <w:rPr>
          <w:rFonts w:asciiTheme="majorBidi" w:hAnsiTheme="majorBidi" w:cstheme="majorBidi"/>
          <w:iCs/>
          <w:sz w:val="24"/>
          <w:szCs w:val="24"/>
        </w:rPr>
        <w:t>written r</w:t>
      </w:r>
      <w:r w:rsidRPr="0088328A" w:rsidR="0045555F">
        <w:rPr>
          <w:rFonts w:asciiTheme="majorBidi" w:hAnsiTheme="majorBidi" w:cstheme="majorBidi"/>
          <w:iCs/>
          <w:sz w:val="24"/>
          <w:szCs w:val="24"/>
        </w:rPr>
        <w:t xml:space="preserve">eflective </w:t>
      </w:r>
      <w:r w:rsidR="00722E95">
        <w:rPr>
          <w:rFonts w:asciiTheme="majorBidi" w:hAnsiTheme="majorBidi" w:cstheme="majorBidi"/>
          <w:iCs/>
          <w:sz w:val="24"/>
          <w:szCs w:val="24"/>
        </w:rPr>
        <w:t>assignments</w:t>
      </w:r>
      <w:r w:rsidRPr="0088328A"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786AB1">
        <w:rPr>
          <w:rFonts w:asciiTheme="majorBidi" w:hAnsiTheme="majorBidi" w:cstheme="majorBidi"/>
          <w:iCs/>
          <w:sz w:val="24"/>
          <w:szCs w:val="24"/>
        </w:rPr>
        <w:t xml:space="preserve">within </w:t>
      </w:r>
      <w:r w:rsidR="00722E95">
        <w:rPr>
          <w:rFonts w:asciiTheme="majorBidi" w:hAnsiTheme="majorBidi" w:cstheme="majorBidi"/>
          <w:iCs/>
          <w:sz w:val="24"/>
          <w:szCs w:val="24"/>
        </w:rPr>
        <w:t>six</w:t>
      </w:r>
      <w:r w:rsidRPr="0088328A"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786AB1">
        <w:rPr>
          <w:rFonts w:asciiTheme="majorBidi" w:hAnsiTheme="majorBidi" w:cstheme="majorBidi"/>
          <w:iCs/>
          <w:sz w:val="24"/>
          <w:szCs w:val="24"/>
        </w:rPr>
        <w:t>months of the symposium</w:t>
      </w:r>
      <w:r w:rsidR="00B27DD5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B27DD5">
        <w:rPr>
          <w:rFonts w:asciiTheme="majorBidi" w:hAnsiTheme="majorBidi" w:cstheme="majorBidi"/>
          <w:sz w:val="24"/>
          <w:szCs w:val="24"/>
        </w:rPr>
        <w:t>ethics approval HRE 2056211.2</w:t>
      </w:r>
      <w:r w:rsidDel="00B27DD5" w:rsidR="00B27DD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841C01">
        <w:rPr>
          <w:rFonts w:asciiTheme="majorBidi" w:hAnsiTheme="majorBidi" w:cstheme="majorBidi"/>
          <w:b/>
          <w:bCs/>
          <w:iCs/>
          <w:sz w:val="24"/>
          <w:szCs w:val="24"/>
        </w:rPr>
        <w:t>Phase 5:</w:t>
      </w:r>
      <w:r w:rsidRPr="0088328A" w:rsidR="00841C01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88328A">
        <w:rPr>
          <w:rFonts w:asciiTheme="majorBidi" w:hAnsiTheme="majorBidi" w:cstheme="majorBidi"/>
          <w:iCs/>
          <w:sz w:val="24"/>
          <w:szCs w:val="24"/>
        </w:rPr>
        <w:t>S</w:t>
      </w:r>
      <w:r w:rsidRPr="0088328A" w:rsidR="00841C01">
        <w:rPr>
          <w:rFonts w:asciiTheme="majorBidi" w:hAnsiTheme="majorBidi" w:cstheme="majorBidi"/>
          <w:iCs/>
          <w:sz w:val="24"/>
          <w:szCs w:val="24"/>
        </w:rPr>
        <w:t>ystematic literature review to explore the use of curriculum-based interventions aimed at developing cultural safety and interprofessional education</w:t>
      </w:r>
      <w:r w:rsidRPr="0088328A" w:rsidR="004C170E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Pr="0088328A" w:rsidR="00824E01" w:rsidP="00786AB1" w:rsidRDefault="004C170E" w14:paraId="4097B112" w14:textId="0FC997EB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88328A">
        <w:rPr>
          <w:rFonts w:asciiTheme="majorBidi" w:hAnsiTheme="majorBidi" w:cstheme="majorBidi"/>
          <w:iCs/>
          <w:sz w:val="24"/>
          <w:szCs w:val="24"/>
        </w:rPr>
        <w:t xml:space="preserve">Phases 4 </w:t>
      </w:r>
      <w:r w:rsidR="00722E95">
        <w:rPr>
          <w:rFonts w:asciiTheme="majorBidi" w:hAnsiTheme="majorBidi" w:cstheme="majorBidi"/>
          <w:iCs/>
          <w:sz w:val="24"/>
          <w:szCs w:val="24"/>
        </w:rPr>
        <w:t>and</w:t>
      </w:r>
      <w:r w:rsidRPr="0088328A"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5 were not able to be completed due to </w:t>
      </w:r>
      <w:r w:rsidR="002A5C18">
        <w:rPr>
          <w:rFonts w:asciiTheme="majorBidi" w:hAnsiTheme="majorBidi" w:cstheme="majorBidi"/>
          <w:iCs/>
          <w:sz w:val="24"/>
          <w:szCs w:val="24"/>
        </w:rPr>
        <w:t xml:space="preserve">the </w:t>
      </w:r>
      <w:r w:rsidRPr="0088328A">
        <w:rPr>
          <w:rFonts w:asciiTheme="majorBidi" w:hAnsiTheme="majorBidi" w:cstheme="majorBidi"/>
          <w:iCs/>
          <w:sz w:val="24"/>
          <w:szCs w:val="24"/>
        </w:rPr>
        <w:t>COVID</w:t>
      </w:r>
      <w:r w:rsidR="002A5C18">
        <w:rPr>
          <w:rFonts w:asciiTheme="majorBidi" w:hAnsiTheme="majorBidi" w:cstheme="majorBidi"/>
          <w:iCs/>
          <w:sz w:val="24"/>
          <w:szCs w:val="24"/>
        </w:rPr>
        <w:t>-19 pandemic</w:t>
      </w:r>
      <w:r w:rsidRPr="0088328A">
        <w:rPr>
          <w:rFonts w:asciiTheme="majorBidi" w:hAnsiTheme="majorBidi" w:cstheme="majorBidi"/>
          <w:iCs/>
          <w:sz w:val="24"/>
          <w:szCs w:val="24"/>
        </w:rPr>
        <w:t>.</w:t>
      </w:r>
    </w:p>
    <w:p w:rsidRPr="004C170E" w:rsidR="004C170E" w:rsidP="00786AB1" w:rsidRDefault="004C170E" w14:paraId="5FD86FDE" w14:textId="77777777">
      <w:pPr>
        <w:spacing w:after="120" w:line="240" w:lineRule="auto"/>
        <w:rPr>
          <w:rFonts w:asciiTheme="majorHAnsi" w:hAnsiTheme="majorHAnsi" w:cstheme="majorHAnsi"/>
          <w:iCs/>
          <w:sz w:val="24"/>
          <w:szCs w:val="24"/>
        </w:rPr>
      </w:pPr>
    </w:p>
    <w:p w:rsidRPr="0088328A" w:rsidR="00824E01" w:rsidP="00786AB1" w:rsidRDefault="004C170E" w14:paraId="4BD555F3" w14:textId="17C9229E">
      <w:pPr>
        <w:spacing w:after="120" w:line="240" w:lineRule="auto"/>
        <w:rPr>
          <w:rFonts w:asciiTheme="majorBidi" w:hAnsiTheme="majorBidi" w:cstheme="majorBidi"/>
          <w:i/>
          <w:sz w:val="24"/>
          <w:szCs w:val="24"/>
        </w:rPr>
      </w:pPr>
      <w:r w:rsidRPr="0088328A">
        <w:rPr>
          <w:rFonts w:asciiTheme="majorBidi" w:hAnsiTheme="majorBidi" w:cstheme="majorBidi"/>
          <w:iCs/>
          <w:sz w:val="24"/>
          <w:szCs w:val="24"/>
        </w:rPr>
        <w:lastRenderedPageBreak/>
        <w:t xml:space="preserve">Subsequent </w:t>
      </w:r>
      <w:r w:rsidRPr="0088328A" w:rsidR="00824E01">
        <w:rPr>
          <w:rFonts w:asciiTheme="majorBidi" w:hAnsiTheme="majorBidi" w:cstheme="majorBidi"/>
          <w:sz w:val="24"/>
          <w:szCs w:val="24"/>
        </w:rPr>
        <w:t>progress</w:t>
      </w:r>
      <w:r w:rsidR="0088328A">
        <w:rPr>
          <w:rFonts w:asciiTheme="majorBidi" w:hAnsiTheme="majorBidi" w:cstheme="majorBidi"/>
          <w:sz w:val="24"/>
          <w:szCs w:val="24"/>
        </w:rPr>
        <w:t>:</w:t>
      </w:r>
    </w:p>
    <w:p w:rsidRPr="0088328A" w:rsidR="00824E01" w:rsidP="00824E01" w:rsidRDefault="002A5C18" w14:paraId="016564A6" w14:textId="2C944579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The </w:t>
      </w:r>
      <w:r w:rsidRPr="0088328A">
        <w:rPr>
          <w:rFonts w:asciiTheme="majorBidi" w:hAnsiTheme="majorBidi" w:cstheme="majorBidi"/>
          <w:iCs/>
          <w:sz w:val="24"/>
          <w:szCs w:val="24"/>
        </w:rPr>
        <w:t>Planning Team for 2021</w:t>
      </w:r>
      <w:r>
        <w:rPr>
          <w:rFonts w:asciiTheme="majorBidi" w:hAnsiTheme="majorBidi" w:cstheme="majorBidi"/>
          <w:iCs/>
          <w:sz w:val="24"/>
          <w:szCs w:val="24"/>
        </w:rPr>
        <w:t xml:space="preserve"> have used </w:t>
      </w:r>
      <w:r w:rsidRPr="00482FE4" w:rsidR="00A83DCC">
        <w:rPr>
          <w:rFonts w:asciiTheme="majorBidi" w:hAnsiTheme="majorBidi" w:cstheme="majorBidi"/>
          <w:iCs/>
          <w:sz w:val="24"/>
          <w:szCs w:val="24"/>
        </w:rPr>
        <w:t xml:space="preserve">results from </w:t>
      </w:r>
      <w:r w:rsidRPr="00482FE4" w:rsidR="00824E01">
        <w:rPr>
          <w:rFonts w:asciiTheme="majorBidi" w:hAnsiTheme="majorBidi" w:cstheme="majorBidi"/>
          <w:iCs/>
          <w:sz w:val="24"/>
          <w:szCs w:val="24"/>
        </w:rPr>
        <w:t>Phase</w:t>
      </w:r>
      <w:r w:rsidRPr="00482FE4">
        <w:rPr>
          <w:rFonts w:asciiTheme="majorBidi" w:hAnsiTheme="majorBidi" w:cstheme="majorBidi"/>
          <w:iCs/>
          <w:sz w:val="24"/>
          <w:szCs w:val="24"/>
        </w:rPr>
        <w:t>s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 xml:space="preserve"> 1</w:t>
      </w:r>
      <w:r>
        <w:rPr>
          <w:rFonts w:asciiTheme="majorBidi" w:hAnsiTheme="majorBidi" w:cstheme="majorBidi"/>
          <w:iCs/>
          <w:sz w:val="24"/>
          <w:szCs w:val="24"/>
        </w:rPr>
        <w:t>–3 of the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 xml:space="preserve"> evaluation </w:t>
      </w:r>
      <w:r>
        <w:rPr>
          <w:rFonts w:asciiTheme="majorBidi" w:hAnsiTheme="majorBidi" w:cstheme="majorBidi"/>
          <w:iCs/>
          <w:sz w:val="24"/>
          <w:szCs w:val="24"/>
        </w:rPr>
        <w:t>to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 xml:space="preserve"> inform the curriculum design </w:t>
      </w:r>
      <w:r>
        <w:rPr>
          <w:rFonts w:asciiTheme="majorBidi" w:hAnsiTheme="majorBidi" w:cstheme="majorBidi"/>
          <w:iCs/>
          <w:sz w:val="24"/>
          <w:szCs w:val="24"/>
        </w:rPr>
        <w:t>for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 xml:space="preserve">the expanded ‘Ways of knowing in healthcare’ </w:t>
      </w:r>
      <w:r w:rsidR="0088328A">
        <w:rPr>
          <w:rFonts w:asciiTheme="majorBidi" w:hAnsiTheme="majorBidi" w:cstheme="majorBidi"/>
          <w:iCs/>
          <w:sz w:val="24"/>
          <w:szCs w:val="24"/>
        </w:rPr>
        <w:t xml:space="preserve">extending to </w:t>
      </w:r>
      <w:r w:rsidR="00B27DD5">
        <w:rPr>
          <w:rFonts w:asciiTheme="majorBidi" w:hAnsiTheme="majorBidi" w:cstheme="majorBidi"/>
          <w:iCs/>
          <w:sz w:val="24"/>
          <w:szCs w:val="24"/>
        </w:rPr>
        <w:t>1200+ students across eight</w:t>
      </w:r>
      <w:r w:rsidR="00722E9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88328A">
        <w:rPr>
          <w:rFonts w:asciiTheme="majorBidi" w:hAnsiTheme="majorBidi" w:cstheme="majorBidi"/>
          <w:iCs/>
          <w:sz w:val="24"/>
          <w:szCs w:val="24"/>
        </w:rPr>
        <w:t>disciplines (</w:t>
      </w:r>
      <w:r w:rsidRPr="0088328A" w:rsidR="0088328A">
        <w:rPr>
          <w:rFonts w:asciiTheme="majorBidi" w:hAnsiTheme="majorBidi" w:cstheme="majorBidi"/>
          <w:sz w:val="24"/>
          <w:szCs w:val="24"/>
        </w:rPr>
        <w:t>medicine, physiotherapy, nursing</w:t>
      </w:r>
      <w:r w:rsidR="0088328A">
        <w:rPr>
          <w:rFonts w:asciiTheme="majorBidi" w:hAnsiTheme="majorBidi" w:cstheme="majorBidi"/>
          <w:sz w:val="24"/>
          <w:szCs w:val="24"/>
        </w:rPr>
        <w:t>, o</w:t>
      </w:r>
      <w:r w:rsidRPr="0088328A" w:rsidR="0088328A">
        <w:rPr>
          <w:rFonts w:asciiTheme="majorBidi" w:hAnsiTheme="majorBidi" w:cstheme="majorBidi"/>
          <w:sz w:val="24"/>
          <w:szCs w:val="24"/>
        </w:rPr>
        <w:t>ptometry</w:t>
      </w:r>
      <w:r w:rsidR="0088328A">
        <w:rPr>
          <w:rFonts w:asciiTheme="majorBidi" w:hAnsiTheme="majorBidi" w:cstheme="majorBidi"/>
          <w:sz w:val="24"/>
          <w:szCs w:val="24"/>
        </w:rPr>
        <w:t>, audiology, dentistry</w:t>
      </w:r>
      <w:r w:rsidR="00B27DD5">
        <w:rPr>
          <w:rFonts w:asciiTheme="majorBidi" w:hAnsiTheme="majorBidi" w:cstheme="majorBidi"/>
          <w:sz w:val="24"/>
          <w:szCs w:val="24"/>
        </w:rPr>
        <w:t>, speech pathology</w:t>
      </w:r>
      <w:r w:rsidR="0088328A">
        <w:rPr>
          <w:rFonts w:asciiTheme="majorBidi" w:hAnsiTheme="majorBidi" w:cstheme="majorBidi"/>
          <w:sz w:val="24"/>
          <w:szCs w:val="24"/>
        </w:rPr>
        <w:t xml:space="preserve"> and social work). </w:t>
      </w:r>
    </w:p>
    <w:p w:rsidRPr="0088328A" w:rsidR="004C170E" w:rsidP="0088328A" w:rsidRDefault="0088328A" w14:paraId="6359D5B6" w14:textId="5D9789AE">
      <w:pPr>
        <w:spacing w:after="120" w:line="24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Joanne Bolton, Shawana Andrews, Dr Ngaree Blow &amp; Assoc Prof Louisa Remedios s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 xml:space="preserve">uccessfully secured a $24,000 </w:t>
      </w:r>
      <w:r w:rsidR="00A83DCC">
        <w:rPr>
          <w:rFonts w:asciiTheme="majorBidi" w:hAnsiTheme="majorBidi" w:cstheme="majorBidi"/>
          <w:iCs/>
          <w:sz w:val="24"/>
          <w:szCs w:val="24"/>
        </w:rPr>
        <w:t xml:space="preserve">University 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>Learning and Teaching Grant to create two new online interprofessional learning modules, one for staff and one for students</w:t>
      </w:r>
      <w:r>
        <w:rPr>
          <w:rFonts w:asciiTheme="majorBidi" w:hAnsiTheme="majorBidi" w:cstheme="majorBidi"/>
          <w:iCs/>
          <w:sz w:val="24"/>
          <w:szCs w:val="24"/>
        </w:rPr>
        <w:t xml:space="preserve"> on</w:t>
      </w:r>
      <w:r w:rsidR="00A83DC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 w:rsidR="00824E01">
        <w:rPr>
          <w:rFonts w:asciiTheme="majorBidi" w:hAnsiTheme="majorBidi" w:cstheme="majorBidi"/>
          <w:i/>
          <w:sz w:val="24"/>
          <w:szCs w:val="24"/>
        </w:rPr>
        <w:t>‘</w:t>
      </w:r>
      <w:r w:rsidR="006A36F8">
        <w:rPr>
          <w:rFonts w:asciiTheme="majorBidi" w:hAnsiTheme="majorBidi" w:cstheme="majorBidi"/>
          <w:i/>
          <w:sz w:val="24"/>
          <w:szCs w:val="24"/>
        </w:rPr>
        <w:t xml:space="preserve">Teaching and Learning Together: </w:t>
      </w:r>
      <w:r w:rsidRPr="0088328A" w:rsidR="00824E01">
        <w:rPr>
          <w:rFonts w:asciiTheme="majorBidi" w:hAnsiTheme="majorBidi" w:cstheme="majorBidi"/>
          <w:i/>
          <w:sz w:val="24"/>
          <w:szCs w:val="24"/>
        </w:rPr>
        <w:t>Cultural Safety Essentials’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 xml:space="preserve"> which will form part of the ‘Ways of knowing</w:t>
      </w:r>
      <w:r w:rsidR="006E5ABF">
        <w:rPr>
          <w:rFonts w:asciiTheme="majorBidi" w:hAnsiTheme="majorBidi" w:cstheme="majorBidi"/>
          <w:iCs/>
          <w:sz w:val="24"/>
          <w:szCs w:val="24"/>
        </w:rPr>
        <w:t xml:space="preserve"> in healthcare</w:t>
      </w:r>
      <w:r w:rsidRPr="0088328A" w:rsidR="00824E01">
        <w:rPr>
          <w:rFonts w:asciiTheme="majorBidi" w:hAnsiTheme="majorBidi" w:cstheme="majorBidi"/>
          <w:iCs/>
          <w:sz w:val="24"/>
          <w:szCs w:val="24"/>
        </w:rPr>
        <w:t>’ curriculum for 2021.</w:t>
      </w:r>
    </w:p>
    <w:p w:rsidRPr="0088328A" w:rsidR="002776D8" w:rsidP="002776D8" w:rsidRDefault="004C170E" w14:paraId="22065360" w14:textId="3FF4BF96">
      <w:pPr>
        <w:spacing w:after="12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88328A">
        <w:rPr>
          <w:rFonts w:asciiTheme="majorBidi" w:hAnsiTheme="majorBidi" w:cstheme="majorBidi"/>
          <w:iCs/>
          <w:sz w:val="24"/>
          <w:szCs w:val="24"/>
        </w:rPr>
        <w:t xml:space="preserve">We aim to </w:t>
      </w:r>
      <w:r w:rsidR="002A5C18">
        <w:rPr>
          <w:rFonts w:asciiTheme="majorBidi" w:hAnsiTheme="majorBidi" w:cstheme="majorBidi"/>
          <w:iCs/>
          <w:sz w:val="24"/>
          <w:szCs w:val="24"/>
        </w:rPr>
        <w:t xml:space="preserve">further 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explore our research questions in 2021 </w:t>
      </w:r>
      <w:r w:rsidR="00A83DCC">
        <w:rPr>
          <w:rFonts w:asciiTheme="majorBidi" w:hAnsiTheme="majorBidi" w:cstheme="majorBidi"/>
          <w:iCs/>
          <w:sz w:val="24"/>
          <w:szCs w:val="24"/>
        </w:rPr>
        <w:t xml:space="preserve">with the refined curriculum </w:t>
      </w:r>
      <w:r w:rsidRPr="0088328A">
        <w:rPr>
          <w:rFonts w:asciiTheme="majorBidi" w:hAnsiTheme="majorBidi" w:cstheme="majorBidi"/>
          <w:iCs/>
          <w:sz w:val="24"/>
          <w:szCs w:val="24"/>
        </w:rPr>
        <w:t>and</w:t>
      </w:r>
      <w:r w:rsidR="00B27DD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look forward to sharing </w:t>
      </w:r>
      <w:r w:rsidR="002A5C18">
        <w:rPr>
          <w:rFonts w:asciiTheme="majorBidi" w:hAnsiTheme="majorBidi" w:cstheme="majorBidi"/>
          <w:iCs/>
          <w:sz w:val="24"/>
          <w:szCs w:val="24"/>
        </w:rPr>
        <w:t xml:space="preserve">our results </w:t>
      </w:r>
      <w:r w:rsidRPr="0088328A">
        <w:rPr>
          <w:rFonts w:asciiTheme="majorBidi" w:hAnsiTheme="majorBidi" w:cstheme="majorBidi"/>
          <w:iCs/>
          <w:sz w:val="24"/>
          <w:szCs w:val="24"/>
        </w:rPr>
        <w:t>with the</w:t>
      </w:r>
      <w:r w:rsidR="00A83DC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328A">
        <w:rPr>
          <w:rFonts w:asciiTheme="majorBidi" w:hAnsiTheme="majorBidi" w:cstheme="majorBidi"/>
          <w:iCs/>
          <w:sz w:val="24"/>
          <w:szCs w:val="24"/>
        </w:rPr>
        <w:t>ANZAHPE community</w:t>
      </w:r>
      <w:r w:rsidR="002A5C18">
        <w:rPr>
          <w:rFonts w:asciiTheme="majorBidi" w:hAnsiTheme="majorBidi" w:cstheme="majorBidi"/>
          <w:iCs/>
          <w:sz w:val="24"/>
          <w:szCs w:val="24"/>
        </w:rPr>
        <w:t>.</w:t>
      </w:r>
      <w:r w:rsidRPr="0088328A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Pr="00DF0C36" w:rsidR="00786AB1" w:rsidP="2B6E9E7C" w:rsidRDefault="0088328A" w14:paraId="706A7592" w14:noSpellErr="1" w14:textId="4ECEAF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Pr="00DF0C36" w:rsidR="00786A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CDE"/>
    <w:multiLevelType w:val="hybridMultilevel"/>
    <w:tmpl w:val="A9C0DFE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D4526"/>
    <w:multiLevelType w:val="hybridMultilevel"/>
    <w:tmpl w:val="5F76A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FC9"/>
    <w:multiLevelType w:val="hybridMultilevel"/>
    <w:tmpl w:val="291EAE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333030"/>
    <w:multiLevelType w:val="hybridMultilevel"/>
    <w:tmpl w:val="B3FC383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9F188F"/>
    <w:multiLevelType w:val="hybridMultilevel"/>
    <w:tmpl w:val="D22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5F4DB5"/>
    <w:multiLevelType w:val="hybridMultilevel"/>
    <w:tmpl w:val="A5B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32"/>
    <w:rsid w:val="00016694"/>
    <w:rsid w:val="00023737"/>
    <w:rsid w:val="000E4C64"/>
    <w:rsid w:val="000E5AE7"/>
    <w:rsid w:val="001339E4"/>
    <w:rsid w:val="002776D8"/>
    <w:rsid w:val="002910FE"/>
    <w:rsid w:val="002A0E0A"/>
    <w:rsid w:val="002A5C18"/>
    <w:rsid w:val="002B262E"/>
    <w:rsid w:val="00321C9D"/>
    <w:rsid w:val="00335145"/>
    <w:rsid w:val="003571BF"/>
    <w:rsid w:val="003E0A5A"/>
    <w:rsid w:val="004356EC"/>
    <w:rsid w:val="00440483"/>
    <w:rsid w:val="0045555F"/>
    <w:rsid w:val="004716ED"/>
    <w:rsid w:val="00475C30"/>
    <w:rsid w:val="00482FE4"/>
    <w:rsid w:val="00492172"/>
    <w:rsid w:val="004C170E"/>
    <w:rsid w:val="00553C79"/>
    <w:rsid w:val="00580CC6"/>
    <w:rsid w:val="005A2137"/>
    <w:rsid w:val="005B31EE"/>
    <w:rsid w:val="006650DD"/>
    <w:rsid w:val="006A36F8"/>
    <w:rsid w:val="006E5ABF"/>
    <w:rsid w:val="0070748B"/>
    <w:rsid w:val="00722E95"/>
    <w:rsid w:val="00740169"/>
    <w:rsid w:val="00786AB1"/>
    <w:rsid w:val="007D11DB"/>
    <w:rsid w:val="007F6159"/>
    <w:rsid w:val="00824E01"/>
    <w:rsid w:val="00841C01"/>
    <w:rsid w:val="00845AE6"/>
    <w:rsid w:val="0088328A"/>
    <w:rsid w:val="008D1390"/>
    <w:rsid w:val="008E3FBE"/>
    <w:rsid w:val="009631AD"/>
    <w:rsid w:val="009C5559"/>
    <w:rsid w:val="00A17087"/>
    <w:rsid w:val="00A83DCC"/>
    <w:rsid w:val="00A87932"/>
    <w:rsid w:val="00AF74E7"/>
    <w:rsid w:val="00B27DD5"/>
    <w:rsid w:val="00C75D20"/>
    <w:rsid w:val="00C83E8A"/>
    <w:rsid w:val="00C8485D"/>
    <w:rsid w:val="00CD3D50"/>
    <w:rsid w:val="00CD7FF3"/>
    <w:rsid w:val="00D814B3"/>
    <w:rsid w:val="00DF0C36"/>
    <w:rsid w:val="00E60632"/>
    <w:rsid w:val="00E61D6C"/>
    <w:rsid w:val="00E62B73"/>
    <w:rsid w:val="00E75E16"/>
    <w:rsid w:val="00EF4F2E"/>
    <w:rsid w:val="00F72A80"/>
    <w:rsid w:val="00FE6402"/>
    <w:rsid w:val="2B6E9E7C"/>
    <w:rsid w:val="65C09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81CFC"/>
  <w15:docId w15:val="{FB10484F-F11F-474F-AF86-453A805C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48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0748B"/>
    <w:rPr>
      <w:color w:val="605E5C"/>
      <w:shd w:val="clear" w:color="auto" w:fill="E1DFDD"/>
    </w:rPr>
  </w:style>
  <w:style w:type="paragraph" w:styleId="Default" w:customStyle="1">
    <w:name w:val="Default"/>
    <w:rsid w:val="00335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3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E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3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39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2.jpg" Id="Rb01b56b561974346" /><Relationship Type="http://schemas.openxmlformats.org/officeDocument/2006/relationships/image" Target="/media/image2.png" Id="R5ded2773eff64b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BACB0B955E42BC0B7D2EDF06D66D" ma:contentTypeVersion="9" ma:contentTypeDescription="Create a new document." ma:contentTypeScope="" ma:versionID="ffbce9cbb253b842ce352eecfafdb8c7">
  <xsd:schema xmlns:xsd="http://www.w3.org/2001/XMLSchema" xmlns:xs="http://www.w3.org/2001/XMLSchema" xmlns:p="http://schemas.microsoft.com/office/2006/metadata/properties" xmlns:ns2="671c6b3f-330c-455e-aa81-807815f0dba6" targetNamespace="http://schemas.microsoft.com/office/2006/metadata/properties" ma:root="true" ma:fieldsID="5237ea16b1c82785377d45ae79ba253a" ns2:_="">
    <xsd:import namespace="671c6b3f-330c-455e-aa81-807815f0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6b3f-330c-455e-aa81-807815f0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BB5B6-CB10-4A15-9643-0CDBDF69E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B01F-3D0D-472B-A4EF-5042B9F13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E9E93-B811-42A9-91F5-494B75A504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Megan Anakin</dc:creator>
  <lastModifiedBy>Megan Anakin</lastModifiedBy>
  <revision>6</revision>
  <dcterms:created xsi:type="dcterms:W3CDTF">2020-11-16T04:25:00.0000000Z</dcterms:created>
  <dcterms:modified xsi:type="dcterms:W3CDTF">2021-04-29T04:11:56.4054064Z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0x0101003FDFBACB0B955E42BC0B7D2EDF06D66D</vt:lpwstr>
  </property>
</Properties>
</file>